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5330A7" w:rsidRDefault="00521034" w:rsidP="005330A7">
      <w:pPr>
        <w:pStyle w:val="AHPRADocumenttitle"/>
      </w:pPr>
      <w:r>
        <w:rPr>
          <w:noProof/>
          <w:lang w:val="en-GB" w:eastAsia="en-GB"/>
        </w:rPr>
        <mc:AlternateContent>
          <mc:Choice Requires="wps">
            <w:drawing>
              <wp:anchor distT="4294967295" distB="4294967295" distL="114300" distR="114300" simplePos="0" relativeHeight="251657728" behindDoc="0" locked="0" layoutInCell="1" allowOverlap="1" wp14:anchorId="3296FE9B" wp14:editId="06514165">
                <wp:simplePos x="0" y="0"/>
                <wp:positionH relativeFrom="column">
                  <wp:posOffset>-842645</wp:posOffset>
                </wp:positionH>
                <wp:positionV relativeFrom="paragraph">
                  <wp:posOffset>434340</wp:posOffset>
                </wp:positionV>
                <wp:extent cx="21088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AC053" id="_x0000_t32" coordsize="21600,21600" o:spt="32" o:oned="t" path="m,l21600,21600e" filled="f">
                <v:path arrowok="t" fillok="f" o:connecttype="none"/>
                <o:lock v:ext="edit" shapetype="t"/>
              </v:shapetype>
              <v:shape id="AutoShape 3" o:spid="_x0000_s1026" type="#_x0000_t32" style="position:absolute;margin-left:-66.35pt;margin-top:34.2pt;width:166.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"/>
            </w:pict>
          </mc:Fallback>
        </mc:AlternateContent>
      </w:r>
      <w:r w:rsidR="004E3604">
        <w:t>Communique</w:t>
      </w:r>
    </w:p>
    <w:p w:rsidR="00CC440E" w:rsidRPr="00CC440E" w:rsidRDefault="00CC440E" w:rsidP="004E3604">
      <w:pPr>
        <w:rPr>
          <w:sz w:val="20"/>
          <w:szCs w:val="28"/>
        </w:rPr>
      </w:pPr>
      <w:r w:rsidRPr="00CC440E">
        <w:rPr>
          <w:sz w:val="20"/>
          <w:szCs w:val="28"/>
        </w:rPr>
        <w:t>December 2019</w:t>
      </w:r>
    </w:p>
    <w:p w:rsidR="004E3604" w:rsidRPr="00E50B1F" w:rsidRDefault="004E3604" w:rsidP="004E3604">
      <w:pPr>
        <w:rPr>
          <w:b/>
          <w:color w:val="808080" w:themeColor="background1" w:themeShade="80"/>
          <w:sz w:val="28"/>
          <w:szCs w:val="28"/>
        </w:rPr>
      </w:pPr>
      <w:r w:rsidRPr="00E50B1F">
        <w:rPr>
          <w:b/>
          <w:color w:val="808080" w:themeColor="background1" w:themeShade="80"/>
          <w:sz w:val="28"/>
          <w:szCs w:val="28"/>
        </w:rPr>
        <w:t xml:space="preserve">A consistent </w:t>
      </w:r>
      <w:r>
        <w:rPr>
          <w:b/>
          <w:color w:val="808080" w:themeColor="background1" w:themeShade="80"/>
          <w:sz w:val="28"/>
          <w:szCs w:val="28"/>
        </w:rPr>
        <w:t xml:space="preserve">baseline </w:t>
      </w:r>
      <w:r w:rsidRPr="00E50B1F">
        <w:rPr>
          <w:b/>
          <w:color w:val="808080" w:themeColor="background1" w:themeShade="80"/>
          <w:sz w:val="28"/>
          <w:szCs w:val="28"/>
        </w:rPr>
        <w:t xml:space="preserve">definition of cultural safety for the National Scheme  </w:t>
      </w:r>
    </w:p>
    <w:p w:rsidR="004E3604" w:rsidRDefault="004E3604" w:rsidP="004E3604">
      <w:pPr>
        <w:rPr>
          <w:b/>
          <w:color w:val="0070C0"/>
        </w:rPr>
      </w:pPr>
      <w:r>
        <w:rPr>
          <w:b/>
          <w:color w:val="0070C0"/>
        </w:rPr>
        <w:t>Introduction</w:t>
      </w:r>
      <w:bookmarkStart w:id="0" w:name="_GoBack"/>
      <w:bookmarkEnd w:id="0"/>
    </w:p>
    <w:p w:rsidR="004E3604" w:rsidRPr="00CC440E" w:rsidRDefault="004E3604" w:rsidP="004E3604">
      <w:pPr>
        <w:rPr>
          <w:i/>
          <w:sz w:val="20"/>
        </w:rPr>
      </w:pPr>
      <w:r w:rsidRPr="00CC440E">
        <w:rPr>
          <w:sz w:val="20"/>
        </w:rPr>
        <w:t>The definition of cultural safety has been developed for the national scheme regulating health practitioners across Australia (the National Registration and Accreditation Scheme, or National Scheme).</w:t>
      </w:r>
    </w:p>
    <w:p w:rsidR="004E3604" w:rsidRPr="00CC440E" w:rsidRDefault="004E3604" w:rsidP="004E3604">
      <w:pPr>
        <w:rPr>
          <w:sz w:val="20"/>
        </w:rPr>
      </w:pPr>
      <w:r w:rsidRPr="00CC440E">
        <w:rPr>
          <w:sz w:val="20"/>
        </w:rPr>
        <w:t xml:space="preserve">The definition is an important step in the commitment </w:t>
      </w:r>
      <w:proofErr w:type="spellStart"/>
      <w:r w:rsidRPr="00CC440E">
        <w:rPr>
          <w:sz w:val="20"/>
        </w:rPr>
        <w:t>Ahpra</w:t>
      </w:r>
      <w:proofErr w:type="spellEnd"/>
      <w:r w:rsidRPr="00CC440E">
        <w:rPr>
          <w:sz w:val="20"/>
        </w:rPr>
        <w:t>, National Boards and Accreditation Authorities have made to make patient safety for Aboriginal and Torres Strait Islander Peoples the norm, recognising that patient safety includes the inextricably linked elements of clinical and cultural safety, and that this link must be defined by Aboriginal and Torres Strat Islander Peoples.</w:t>
      </w:r>
    </w:p>
    <w:p w:rsidR="004E3604" w:rsidRDefault="004E3604" w:rsidP="004E3604">
      <w:pPr>
        <w:pBdr>
          <w:top w:val="single" w:sz="4" w:space="1" w:color="auto"/>
          <w:left w:val="single" w:sz="4" w:space="4" w:color="auto"/>
          <w:bottom w:val="single" w:sz="4" w:space="1" w:color="auto"/>
          <w:right w:val="single" w:sz="4" w:space="4" w:color="auto"/>
        </w:pBdr>
        <w:spacing w:after="0"/>
        <w:rPr>
          <w:b/>
          <w:color w:val="0070C0"/>
        </w:rPr>
      </w:pPr>
    </w:p>
    <w:p w:rsidR="004E3604" w:rsidRPr="00CC440E" w:rsidRDefault="004E3604" w:rsidP="004E3604">
      <w:pPr>
        <w:pBdr>
          <w:top w:val="single" w:sz="4" w:space="1" w:color="auto"/>
          <w:left w:val="single" w:sz="4" w:space="4" w:color="auto"/>
          <w:bottom w:val="single" w:sz="4" w:space="1" w:color="auto"/>
          <w:right w:val="single" w:sz="4" w:space="4" w:color="auto"/>
        </w:pBdr>
        <w:rPr>
          <w:b/>
          <w:color w:val="0070C0"/>
          <w:sz w:val="20"/>
        </w:rPr>
      </w:pPr>
      <w:r w:rsidRPr="00CC440E">
        <w:rPr>
          <w:b/>
          <w:color w:val="0070C0"/>
          <w:sz w:val="20"/>
        </w:rPr>
        <w:t>The definition</w:t>
      </w:r>
    </w:p>
    <w:p w:rsidR="004E3604" w:rsidRPr="00CC440E" w:rsidRDefault="004E3604" w:rsidP="004E3604">
      <w:pPr>
        <w:pBdr>
          <w:top w:val="single" w:sz="4" w:space="1" w:color="auto"/>
          <w:left w:val="single" w:sz="4" w:space="4" w:color="auto"/>
          <w:bottom w:val="single" w:sz="4" w:space="1" w:color="auto"/>
          <w:right w:val="single" w:sz="4" w:space="4" w:color="auto"/>
        </w:pBdr>
        <w:spacing w:after="0" w:line="360" w:lineRule="auto"/>
        <w:rPr>
          <w:sz w:val="20"/>
        </w:rPr>
      </w:pPr>
      <w:r w:rsidRPr="00CC440E">
        <w:rPr>
          <w:b/>
          <w:bCs/>
          <w:sz w:val="20"/>
        </w:rPr>
        <w:t>Principles:</w:t>
      </w:r>
    </w:p>
    <w:p w:rsidR="004E3604" w:rsidRPr="00CC440E" w:rsidRDefault="004E3604" w:rsidP="004E3604">
      <w:pPr>
        <w:pBdr>
          <w:top w:val="single" w:sz="4" w:space="1" w:color="auto"/>
          <w:left w:val="single" w:sz="4" w:space="4" w:color="auto"/>
          <w:bottom w:val="single" w:sz="4" w:space="1" w:color="auto"/>
          <w:right w:val="single" w:sz="4" w:space="4" w:color="auto"/>
        </w:pBdr>
        <w:spacing w:after="0" w:line="360" w:lineRule="auto"/>
        <w:rPr>
          <w:sz w:val="20"/>
        </w:rPr>
      </w:pPr>
      <w:r w:rsidRPr="00CC440E">
        <w:rPr>
          <w:sz w:val="20"/>
        </w:rPr>
        <w:t>The following principles inform the definition of cultural safety:</w:t>
      </w:r>
    </w:p>
    <w:p w:rsidR="004E3604" w:rsidRPr="00CC440E" w:rsidRDefault="004E3604" w:rsidP="004E3604">
      <w:pPr>
        <w:numPr>
          <w:ilvl w:val="0"/>
          <w:numId w:val="8"/>
        </w:numPr>
        <w:pBdr>
          <w:top w:val="single" w:sz="4" w:space="1" w:color="auto"/>
          <w:left w:val="single" w:sz="4" w:space="4" w:color="auto"/>
          <w:bottom w:val="single" w:sz="4" w:space="1" w:color="auto"/>
          <w:right w:val="single" w:sz="4" w:space="4" w:color="auto"/>
        </w:pBdr>
        <w:spacing w:before="120" w:after="0"/>
        <w:rPr>
          <w:rFonts w:eastAsia="Times New Roman"/>
          <w:sz w:val="20"/>
        </w:rPr>
      </w:pPr>
      <w:r w:rsidRPr="00CC440E">
        <w:rPr>
          <w:rFonts w:eastAsia="Times New Roman"/>
          <w:sz w:val="20"/>
        </w:rPr>
        <w:t xml:space="preserve">Prioritising COAG’s goal to deliver healthcare free of racism supported by the </w:t>
      </w:r>
      <w:hyperlink r:id="rId11" w:history="1">
        <w:r w:rsidRPr="00CC440E">
          <w:rPr>
            <w:rStyle w:val="Hyperlink"/>
            <w:rFonts w:eastAsia="Times New Roman"/>
            <w:sz w:val="20"/>
          </w:rPr>
          <w:t>National Aboriginal and Torres Strait Islander Health Plan 2013-2023</w:t>
        </w:r>
      </w:hyperlink>
    </w:p>
    <w:p w:rsidR="004E3604" w:rsidRPr="00CC440E" w:rsidRDefault="004E3604" w:rsidP="004E3604">
      <w:pPr>
        <w:numPr>
          <w:ilvl w:val="0"/>
          <w:numId w:val="8"/>
        </w:numPr>
        <w:pBdr>
          <w:top w:val="single" w:sz="4" w:space="1" w:color="auto"/>
          <w:left w:val="single" w:sz="4" w:space="4" w:color="auto"/>
          <w:bottom w:val="single" w:sz="4" w:space="1" w:color="auto"/>
          <w:right w:val="single" w:sz="4" w:space="4" w:color="auto"/>
        </w:pBdr>
        <w:spacing w:before="120" w:after="0"/>
        <w:rPr>
          <w:rFonts w:eastAsia="Times New Roman"/>
          <w:sz w:val="20"/>
        </w:rPr>
      </w:pPr>
      <w:r w:rsidRPr="00CC440E">
        <w:rPr>
          <w:rFonts w:eastAsia="Times New Roman"/>
          <w:sz w:val="20"/>
        </w:rPr>
        <w:t xml:space="preserve">Improved health service provision supported by the Safety and Quality Health Service Standards </w:t>
      </w:r>
      <w:hyperlink r:id="rId12" w:history="1">
        <w:r w:rsidRPr="00CC440E">
          <w:rPr>
            <w:rStyle w:val="Hyperlink"/>
            <w:rFonts w:eastAsia="Times New Roman"/>
            <w:sz w:val="20"/>
          </w:rPr>
          <w:t>User Guide for Aboriginal and Torres Strait Islander Health</w:t>
        </w:r>
      </w:hyperlink>
    </w:p>
    <w:p w:rsidR="004E3604" w:rsidRPr="00CC440E" w:rsidRDefault="004E3604" w:rsidP="004E3604">
      <w:pPr>
        <w:numPr>
          <w:ilvl w:val="0"/>
          <w:numId w:val="8"/>
        </w:numPr>
        <w:pBdr>
          <w:top w:val="single" w:sz="4" w:space="1" w:color="auto"/>
          <w:left w:val="single" w:sz="4" w:space="4" w:color="auto"/>
          <w:bottom w:val="single" w:sz="4" w:space="1" w:color="auto"/>
          <w:right w:val="single" w:sz="4" w:space="4" w:color="auto"/>
        </w:pBdr>
        <w:spacing w:before="120" w:after="0"/>
        <w:rPr>
          <w:rFonts w:eastAsia="Times New Roman"/>
          <w:sz w:val="20"/>
        </w:rPr>
      </w:pPr>
      <w:r w:rsidRPr="00CC440E">
        <w:rPr>
          <w:rFonts w:eastAsia="Times New Roman"/>
          <w:sz w:val="20"/>
        </w:rPr>
        <w:t xml:space="preserve">Provision of a rights-based approach to healthcare supported by the </w:t>
      </w:r>
      <w:hyperlink r:id="rId13" w:history="1">
        <w:r w:rsidRPr="00CC440E">
          <w:rPr>
            <w:rStyle w:val="Hyperlink"/>
            <w:rFonts w:eastAsia="Times New Roman"/>
            <w:sz w:val="20"/>
          </w:rPr>
          <w:t>United Nations Declaration on the Rights of Indigenous Peoples</w:t>
        </w:r>
      </w:hyperlink>
    </w:p>
    <w:p w:rsidR="004E3604" w:rsidRPr="00CC440E" w:rsidRDefault="004E3604" w:rsidP="004E3604">
      <w:pPr>
        <w:numPr>
          <w:ilvl w:val="0"/>
          <w:numId w:val="8"/>
        </w:numPr>
        <w:pBdr>
          <w:top w:val="single" w:sz="4" w:space="1" w:color="auto"/>
          <w:left w:val="single" w:sz="4" w:space="4" w:color="auto"/>
          <w:bottom w:val="single" w:sz="4" w:space="1" w:color="auto"/>
          <w:right w:val="single" w:sz="4" w:space="4" w:color="auto"/>
        </w:pBdr>
        <w:spacing w:before="120" w:after="0"/>
        <w:rPr>
          <w:rFonts w:eastAsia="Times New Roman"/>
          <w:sz w:val="20"/>
        </w:rPr>
      </w:pPr>
      <w:r w:rsidRPr="00CC440E">
        <w:rPr>
          <w:rFonts w:eastAsia="Times New Roman"/>
          <w:sz w:val="20"/>
        </w:rPr>
        <w:t>Ongoing commitment to learning, education and training</w:t>
      </w:r>
    </w:p>
    <w:p w:rsidR="004E3604" w:rsidRPr="00CC440E" w:rsidRDefault="004E3604" w:rsidP="004E3604">
      <w:pPr>
        <w:pBdr>
          <w:top w:val="single" w:sz="4" w:space="1" w:color="auto"/>
          <w:left w:val="single" w:sz="4" w:space="4" w:color="auto"/>
          <w:bottom w:val="single" w:sz="4" w:space="1" w:color="auto"/>
          <w:right w:val="single" w:sz="4" w:space="4" w:color="auto"/>
        </w:pBdr>
        <w:spacing w:after="0" w:line="360" w:lineRule="auto"/>
        <w:rPr>
          <w:sz w:val="20"/>
        </w:rPr>
      </w:pPr>
      <w:r w:rsidRPr="00CC440E">
        <w:rPr>
          <w:sz w:val="20"/>
        </w:rPr>
        <w:t> </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b/>
          <w:bCs/>
          <w:sz w:val="20"/>
        </w:rPr>
        <w:t>Definition</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t xml:space="preserve">Cultural safety is determined by Aboriginal and Torres Strait Islander individuals, families and communities. </w:t>
      </w:r>
    </w:p>
    <w:p w:rsidR="004E3604" w:rsidRPr="00CC440E" w:rsidRDefault="004E3604" w:rsidP="004E3604">
      <w:pPr>
        <w:pBdr>
          <w:top w:val="single" w:sz="4" w:space="1" w:color="auto"/>
          <w:left w:val="single" w:sz="4" w:space="4" w:color="auto"/>
          <w:bottom w:val="single" w:sz="4" w:space="1" w:color="auto"/>
          <w:right w:val="single" w:sz="4" w:space="4" w:color="auto"/>
        </w:pBdr>
        <w:spacing w:after="0"/>
        <w:rPr>
          <w:sz w:val="20"/>
        </w:rPr>
      </w:pPr>
      <w:r w:rsidRPr="00CC440E">
        <w:rPr>
          <w:sz w:val="20"/>
        </w:rPr>
        <w:t>Culturally safe practise is the ongoing critical reflection of health practitioner knowledge, skills, attitudes, practising behaviours and power differentials in delivering safe, accessible and responsive healthcare free of racism.</w:t>
      </w:r>
    </w:p>
    <w:p w:rsidR="004E3604" w:rsidRPr="00CC440E" w:rsidRDefault="004E3604" w:rsidP="004E3604">
      <w:pPr>
        <w:pBdr>
          <w:top w:val="single" w:sz="4" w:space="1" w:color="auto"/>
          <w:left w:val="single" w:sz="4" w:space="4" w:color="auto"/>
          <w:bottom w:val="single" w:sz="4" w:space="1" w:color="auto"/>
          <w:right w:val="single" w:sz="4" w:space="4" w:color="auto"/>
        </w:pBdr>
        <w:spacing w:after="0"/>
        <w:rPr>
          <w:sz w:val="20"/>
        </w:rPr>
      </w:pPr>
    </w:p>
    <w:p w:rsidR="004E3604" w:rsidRPr="00CC440E" w:rsidRDefault="004E3604" w:rsidP="004E3604">
      <w:pPr>
        <w:pBdr>
          <w:top w:val="single" w:sz="4" w:space="1" w:color="auto"/>
          <w:left w:val="single" w:sz="4" w:space="4" w:color="auto"/>
          <w:bottom w:val="single" w:sz="4" w:space="1" w:color="auto"/>
          <w:right w:val="single" w:sz="4" w:space="4" w:color="auto"/>
        </w:pBdr>
        <w:spacing w:after="0" w:line="360" w:lineRule="auto"/>
        <w:rPr>
          <w:sz w:val="20"/>
        </w:rPr>
      </w:pPr>
      <w:r w:rsidRPr="00CC440E">
        <w:rPr>
          <w:b/>
          <w:bCs/>
          <w:sz w:val="20"/>
        </w:rPr>
        <w:t>How to</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t>To ensure culturally safe and respectful practice, health practitioners must:</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t>a. Acknowledge colonisation and systemic racism, social, cultural, behavioural and economic factors which impact individual and community health;</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t>b. Acknowledge and address individual racism, their own biases, assumptions, stereotypes and prejudices and provide care that is holistic, free of bias and racism;</w:t>
      </w:r>
    </w:p>
    <w:p w:rsidR="004E3604" w:rsidRPr="00CC440E"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t>c. Recognise the importance of self-determined decision-making, partnership and collaboration in healthcare which is driven by the individual, family and community;</w:t>
      </w:r>
    </w:p>
    <w:p w:rsidR="00521034" w:rsidRDefault="004E3604" w:rsidP="004E3604">
      <w:pPr>
        <w:pBdr>
          <w:top w:val="single" w:sz="4" w:space="1" w:color="auto"/>
          <w:left w:val="single" w:sz="4" w:space="4" w:color="auto"/>
          <w:bottom w:val="single" w:sz="4" w:space="1" w:color="auto"/>
          <w:right w:val="single" w:sz="4" w:space="4" w:color="auto"/>
        </w:pBdr>
        <w:rPr>
          <w:sz w:val="20"/>
        </w:rPr>
      </w:pPr>
      <w:r w:rsidRPr="00CC440E">
        <w:rPr>
          <w:sz w:val="20"/>
        </w:rPr>
        <w:lastRenderedPageBreak/>
        <w:t>d. Foster a safe working environment through leadership to support the rights and dignity of Aboriginal and Torres Strait Islander people and colleagues.</w:t>
      </w:r>
    </w:p>
    <w:p w:rsidR="0092102A" w:rsidRPr="00CC440E" w:rsidRDefault="0092102A" w:rsidP="004E3604">
      <w:pPr>
        <w:pBdr>
          <w:top w:val="single" w:sz="4" w:space="1" w:color="auto"/>
          <w:left w:val="single" w:sz="4" w:space="4" w:color="auto"/>
          <w:bottom w:val="single" w:sz="4" w:space="1" w:color="auto"/>
          <w:right w:val="single" w:sz="4" w:space="4" w:color="auto"/>
        </w:pBdr>
        <w:rPr>
          <w:sz w:val="20"/>
        </w:rPr>
      </w:pPr>
    </w:p>
    <w:p w:rsidR="004E3604" w:rsidRPr="00CC440E" w:rsidRDefault="004E3604" w:rsidP="004E3604">
      <w:pPr>
        <w:rPr>
          <w:b/>
          <w:color w:val="0070C0"/>
          <w:sz w:val="20"/>
        </w:rPr>
      </w:pPr>
      <w:r w:rsidRPr="00CC440E">
        <w:rPr>
          <w:b/>
          <w:color w:val="0070C0"/>
          <w:sz w:val="20"/>
        </w:rPr>
        <w:t>How the definition will be used</w:t>
      </w:r>
    </w:p>
    <w:p w:rsidR="004E3604" w:rsidRPr="00CC440E" w:rsidRDefault="004E3604" w:rsidP="004E3604">
      <w:pPr>
        <w:pStyle w:val="AHPRAbody"/>
        <w:rPr>
          <w:rFonts w:cs="Times New Roman"/>
        </w:rPr>
      </w:pPr>
      <w:r w:rsidRPr="00CC440E">
        <w:rPr>
          <w:rFonts w:cs="Times New Roman"/>
        </w:rPr>
        <w:t xml:space="preserve">The definition will be applied across the National Scheme and by the National Health Leadership Forum (NHLF) member organisations for embedding a baseline definition of cultural safety. </w:t>
      </w:r>
    </w:p>
    <w:p w:rsidR="004E3604" w:rsidRPr="00CC440E" w:rsidRDefault="004E3604" w:rsidP="004E3604">
      <w:pPr>
        <w:rPr>
          <w:sz w:val="20"/>
        </w:rPr>
      </w:pPr>
      <w:r w:rsidRPr="00CC440E">
        <w:rPr>
          <w:sz w:val="20"/>
        </w:rPr>
        <w:t>The definition will be used in the standards, codes and guidelines that National Boards set for registered health practitioners and Accreditation Authorities’ standards.</w:t>
      </w:r>
      <w:r w:rsidRPr="00CC440E">
        <w:rPr>
          <w:rStyle w:val="FootnoteReference"/>
          <w:sz w:val="20"/>
        </w:rPr>
        <w:footnoteReference w:id="1"/>
      </w:r>
      <w:r w:rsidRPr="00CC440E">
        <w:rPr>
          <w:sz w:val="20"/>
        </w:rPr>
        <w:t xml:space="preserve"> Practitioners need to meet these standards to be registered.</w:t>
      </w:r>
    </w:p>
    <w:p w:rsidR="004E3604" w:rsidRPr="00CC440E" w:rsidRDefault="004E3604" w:rsidP="004E3604">
      <w:pPr>
        <w:rPr>
          <w:b/>
          <w:color w:val="0070C0"/>
          <w:sz w:val="20"/>
        </w:rPr>
      </w:pPr>
      <w:r w:rsidRPr="00CC440E">
        <w:rPr>
          <w:b/>
          <w:color w:val="0070C0"/>
          <w:sz w:val="20"/>
        </w:rPr>
        <w:t>Having a consistent definition is important</w:t>
      </w:r>
    </w:p>
    <w:p w:rsidR="004E3604" w:rsidRPr="00CC440E" w:rsidRDefault="004E3604" w:rsidP="004E3604">
      <w:pPr>
        <w:rPr>
          <w:sz w:val="20"/>
        </w:rPr>
      </w:pPr>
      <w:r w:rsidRPr="00CC440E">
        <w:rPr>
          <w:sz w:val="20"/>
        </w:rPr>
        <w:t xml:space="preserve">Having a clear baseline definition for the entities in the National Scheme is important as it means </w:t>
      </w:r>
      <w:proofErr w:type="spellStart"/>
      <w:r w:rsidRPr="00CC440E">
        <w:rPr>
          <w:sz w:val="20"/>
        </w:rPr>
        <w:t>Ahpra</w:t>
      </w:r>
      <w:proofErr w:type="spellEnd"/>
      <w:r w:rsidRPr="00CC440E">
        <w:rPr>
          <w:sz w:val="20"/>
        </w:rPr>
        <w:t xml:space="preserve">, National Boards and Accreditation Authorities can provide consistent advice to registered health practitioners across the regulated professions. </w:t>
      </w:r>
    </w:p>
    <w:p w:rsidR="004E3604" w:rsidRPr="00CC440E" w:rsidRDefault="004E3604" w:rsidP="004E3604">
      <w:pPr>
        <w:rPr>
          <w:sz w:val="20"/>
        </w:rPr>
      </w:pPr>
      <w:r w:rsidRPr="00CC440E">
        <w:rPr>
          <w:sz w:val="20"/>
        </w:rPr>
        <w:t>This is an important first step towards doing our part to embed cultural safety in the health system.</w:t>
      </w:r>
    </w:p>
    <w:p w:rsidR="004E3604" w:rsidRPr="00CC440E" w:rsidRDefault="004E3604" w:rsidP="004E3604">
      <w:pPr>
        <w:rPr>
          <w:b/>
          <w:color w:val="0070C0"/>
          <w:sz w:val="20"/>
        </w:rPr>
      </w:pPr>
      <w:r w:rsidRPr="00CC440E">
        <w:rPr>
          <w:b/>
          <w:color w:val="0070C0"/>
          <w:sz w:val="20"/>
        </w:rPr>
        <w:t>Partnership with National Health Leadership Forum (NHLF)</w:t>
      </w:r>
    </w:p>
    <w:p w:rsidR="004E3604" w:rsidRPr="00CC440E" w:rsidRDefault="004E3604" w:rsidP="004E3604">
      <w:pPr>
        <w:rPr>
          <w:sz w:val="20"/>
        </w:rPr>
      </w:pPr>
      <w:r w:rsidRPr="00CC440E">
        <w:rPr>
          <w:sz w:val="20"/>
        </w:rPr>
        <w:t>The definition was developed by the Aboriginal and Torres Strait Islander Health Strategy Group (Strategy Group) in partnership with the NHLF.</w:t>
      </w:r>
    </w:p>
    <w:p w:rsidR="004E3604" w:rsidRPr="00CC440E" w:rsidRDefault="004E3604" w:rsidP="004E3604">
      <w:pPr>
        <w:rPr>
          <w:sz w:val="20"/>
        </w:rPr>
      </w:pPr>
      <w:r w:rsidRPr="00CC440E">
        <w:rPr>
          <w:sz w:val="20"/>
        </w:rPr>
        <w:t xml:space="preserve">The NHLF is </w:t>
      </w:r>
      <w:r w:rsidRPr="00CC440E">
        <w:rPr>
          <w:rFonts w:cs="Arial"/>
          <w:color w:val="1C1C1C"/>
          <w:sz w:val="20"/>
          <w:szCs w:val="20"/>
          <w:shd w:val="clear" w:color="auto" w:fill="FFFFFF"/>
        </w:rPr>
        <w:t xml:space="preserve">comprised of leaders from Australia’s Aboriginal and Torres Strait Islander health peak sector. </w:t>
      </w:r>
      <w:r w:rsidRPr="00CC440E">
        <w:rPr>
          <w:sz w:val="20"/>
        </w:rPr>
        <w:t xml:space="preserve">The Strategy Group is comprised of Aboriginal and Torres Strait Islander health experts as well as representatives from </w:t>
      </w:r>
      <w:proofErr w:type="spellStart"/>
      <w:r w:rsidRPr="00CC440E">
        <w:rPr>
          <w:sz w:val="20"/>
        </w:rPr>
        <w:t>Ahpra</w:t>
      </w:r>
      <w:proofErr w:type="spellEnd"/>
      <w:r w:rsidRPr="00CC440E">
        <w:rPr>
          <w:sz w:val="20"/>
        </w:rPr>
        <w:t xml:space="preserve">, </w:t>
      </w:r>
      <w:proofErr w:type="spellStart"/>
      <w:r w:rsidRPr="00CC440E">
        <w:rPr>
          <w:sz w:val="20"/>
        </w:rPr>
        <w:t>Ahpra’s</w:t>
      </w:r>
      <w:proofErr w:type="spellEnd"/>
      <w:r w:rsidRPr="00CC440E">
        <w:rPr>
          <w:sz w:val="20"/>
        </w:rPr>
        <w:t xml:space="preserve"> management committee, National Boards, accreditation authorities and NSW health professions councils.</w:t>
      </w:r>
    </w:p>
    <w:p w:rsidR="004E3604" w:rsidRPr="00CC440E" w:rsidRDefault="004E3604" w:rsidP="004E3604">
      <w:pPr>
        <w:rPr>
          <w:sz w:val="20"/>
        </w:rPr>
      </w:pPr>
      <w:r w:rsidRPr="00CC440E">
        <w:rPr>
          <w:sz w:val="20"/>
        </w:rPr>
        <w:t>The draft definition that was released for consultation was developed by the Strategy Group and NHLF.</w:t>
      </w:r>
    </w:p>
    <w:p w:rsidR="004E3604" w:rsidRPr="00CC440E" w:rsidRDefault="004E3604" w:rsidP="004E3604">
      <w:pPr>
        <w:pStyle w:val="AHPRAbody"/>
        <w:rPr>
          <w:rFonts w:cs="Times New Roman"/>
          <w:b/>
          <w:color w:val="0070C0"/>
        </w:rPr>
      </w:pPr>
      <w:r w:rsidRPr="00CC440E">
        <w:rPr>
          <w:rFonts w:cs="Times New Roman"/>
          <w:b/>
          <w:color w:val="0070C0"/>
        </w:rPr>
        <w:t>For more information</w:t>
      </w:r>
    </w:p>
    <w:p w:rsidR="003855BC" w:rsidRPr="0092102A" w:rsidRDefault="004E3604" w:rsidP="0092102A">
      <w:pPr>
        <w:pStyle w:val="AHPRAbody"/>
        <w:spacing w:after="160" w:line="259" w:lineRule="auto"/>
        <w:rPr>
          <w:rFonts w:cs="Times New Roman"/>
        </w:rPr>
      </w:pPr>
      <w:r w:rsidRPr="00CC440E">
        <w:rPr>
          <w:rFonts w:cs="Times New Roman"/>
        </w:rPr>
        <w:t xml:space="preserve">More information about the Strategy Group and the work of </w:t>
      </w:r>
      <w:proofErr w:type="spellStart"/>
      <w:r w:rsidRPr="00CC440E">
        <w:rPr>
          <w:rFonts w:cs="Times New Roman"/>
        </w:rPr>
        <w:t>Ahpra</w:t>
      </w:r>
      <w:proofErr w:type="spellEnd"/>
      <w:r w:rsidRPr="00CC440E">
        <w:rPr>
          <w:rFonts w:cs="Times New Roman"/>
        </w:rPr>
        <w:t xml:space="preserve"> and National Boards on the Aboriginal and Torres Strait Islander Health Strategy Program is available on the </w:t>
      </w:r>
      <w:proofErr w:type="spellStart"/>
      <w:r w:rsidRPr="00CC440E">
        <w:rPr>
          <w:rFonts w:cs="Times New Roman"/>
        </w:rPr>
        <w:t>Ahpra</w:t>
      </w:r>
      <w:proofErr w:type="spellEnd"/>
      <w:r w:rsidRPr="00CC440E">
        <w:rPr>
          <w:rFonts w:cs="Times New Roman"/>
        </w:rPr>
        <w:t xml:space="preserve"> website: </w:t>
      </w:r>
      <w:hyperlink r:id="rId14" w:history="1">
        <w:r w:rsidRPr="00CC440E">
          <w:rPr>
            <w:rStyle w:val="Hyperlink"/>
            <w:rFonts w:eastAsia="Times New Roman"/>
          </w:rPr>
          <w:t>http://www.ahpra.gov.au/About-AHPRA/Aboriginal-and-Torres-Strait-Islander-Health-Strategy.aspx</w:t>
        </w:r>
      </w:hyperlink>
      <w:r w:rsidRPr="00CC440E">
        <w:rPr>
          <w:rFonts w:cs="Times New Roman"/>
          <w:sz w:val="24"/>
        </w:rPr>
        <w:t xml:space="preserve">       </w:t>
      </w:r>
    </w:p>
    <w:sectPr w:rsidR="003855BC" w:rsidRPr="0092102A" w:rsidSect="003855BC">
      <w:headerReference w:type="default" r:id="rId15"/>
      <w:footerReference w:type="even" r:id="rId16"/>
      <w:footerReference w:type="default" r:id="rId17"/>
      <w:headerReference w:type="first" r:id="rId18"/>
      <w:pgSz w:w="11900" w:h="16840"/>
      <w:pgMar w:top="1276" w:right="1247" w:bottom="1134" w:left="1247" w:header="283" w:footer="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40E" w:rsidRDefault="00CC440E" w:rsidP="00FC2881">
      <w:pPr>
        <w:spacing w:after="0"/>
      </w:pPr>
      <w:r>
        <w:separator/>
      </w:r>
    </w:p>
    <w:p w:rsidR="00CC440E" w:rsidRDefault="00CC440E"/>
  </w:endnote>
  <w:endnote w:type="continuationSeparator" w:id="0">
    <w:p w:rsidR="00CC440E" w:rsidRDefault="00CC440E" w:rsidP="00FC2881">
      <w:pPr>
        <w:spacing w:after="0"/>
      </w:pPr>
      <w:r>
        <w:continuationSeparator/>
      </w:r>
    </w:p>
    <w:p w:rsidR="00CC440E" w:rsidRDefault="00CC4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4A4D2E" w:rsidP="00FC2881">
    <w:pPr>
      <w:pStyle w:val="Footer"/>
      <w:framePr w:wrap="around" w:vAnchor="text" w:hAnchor="margin" w:xAlign="right" w:y="1"/>
    </w:pPr>
    <w:r>
      <w:fldChar w:fldCharType="begin"/>
    </w:r>
    <w:r w:rsidR="000A6BF7">
      <w:instrText xml:space="preserve">PAGE  </w:instrText>
    </w:r>
    <w:r>
      <w:fldChar w:fldCharType="end"/>
    </w:r>
  </w:p>
  <w:p w:rsidR="000A6BF7" w:rsidRDefault="000A6BF7" w:rsidP="00FC2881">
    <w:pPr>
      <w:pStyle w:val="Footer"/>
      <w:ind w:right="360"/>
    </w:pPr>
  </w:p>
  <w:p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Pr="00AA2FC9" w:rsidRDefault="000A6BF7" w:rsidP="00616043">
    <w:pPr>
      <w:pStyle w:val="AHPRADocumentsubheading"/>
      <w:spacing w:after="0"/>
      <w:jc w:val="center"/>
      <w:rPr>
        <w:sz w:val="20"/>
        <w:szCs w:val="16"/>
      </w:rPr>
    </w:pPr>
    <w:r w:rsidRPr="00AA2FC9">
      <w:rPr>
        <w:sz w:val="20"/>
        <w:szCs w:val="16"/>
      </w:rPr>
      <w:t xml:space="preserve">  </w:t>
    </w:r>
  </w:p>
  <w:p w:rsidR="000A6BF7" w:rsidRPr="007664F3" w:rsidRDefault="007664F3" w:rsidP="007664F3">
    <w:pPr>
      <w:pStyle w:val="AHPRApagenumber"/>
      <w:rPr>
        <w:szCs w:val="20"/>
      </w:rPr>
    </w:pPr>
    <w:r>
      <w:tab/>
    </w:r>
    <w:r>
      <w:tab/>
    </w:r>
    <w:r>
      <w:tab/>
    </w:r>
    <w:r>
      <w:tab/>
    </w:r>
    <w:r>
      <w:tab/>
    </w:r>
    <w:r>
      <w:tab/>
    </w:r>
    <w:r>
      <w:tab/>
    </w:r>
    <w:r>
      <w:tab/>
    </w:r>
    <w:r>
      <w:tab/>
    </w:r>
    <w:r>
      <w:tab/>
    </w:r>
    <w:r w:rsidR="004A4D2E" w:rsidRPr="007664F3">
      <w:fldChar w:fldCharType="begin"/>
    </w:r>
    <w:r w:rsidR="000A6BF7" w:rsidRPr="007664F3">
      <w:instrText xml:space="preserve"> PAGE   \* MERGEFORMAT </w:instrText>
    </w:r>
    <w:r w:rsidR="004A4D2E" w:rsidRPr="007664F3">
      <w:fldChar w:fldCharType="separate"/>
    </w:r>
    <w:r w:rsidR="003855BC">
      <w:rPr>
        <w:noProof/>
      </w:rPr>
      <w:t>2</w:t>
    </w:r>
    <w:r w:rsidR="004A4D2E" w:rsidRPr="007664F3">
      <w:fldChar w:fldCharType="end"/>
    </w:r>
  </w:p>
  <w:p w:rsidR="000A6BF7" w:rsidRDefault="000A6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40E" w:rsidRDefault="00CC440E" w:rsidP="00FC2881">
      <w:pPr>
        <w:spacing w:after="0"/>
      </w:pPr>
      <w:r>
        <w:separator/>
      </w:r>
    </w:p>
    <w:p w:rsidR="00CC440E" w:rsidRDefault="00CC440E"/>
  </w:footnote>
  <w:footnote w:type="continuationSeparator" w:id="0">
    <w:p w:rsidR="00CC440E" w:rsidRDefault="00CC440E" w:rsidP="00FC2881">
      <w:pPr>
        <w:spacing w:after="0"/>
      </w:pPr>
      <w:r>
        <w:continuationSeparator/>
      </w:r>
    </w:p>
    <w:p w:rsidR="00CC440E" w:rsidRDefault="00CC440E"/>
  </w:footnote>
  <w:footnote w:id="1">
    <w:p w:rsidR="004E3604" w:rsidRDefault="004E3604" w:rsidP="004E3604">
      <w:pPr>
        <w:pStyle w:val="FootnoteText"/>
      </w:pPr>
      <w:r w:rsidRPr="00CC440E">
        <w:rPr>
          <w:rStyle w:val="FootnoteReference"/>
          <w:sz w:val="16"/>
        </w:rPr>
        <w:footnoteRef/>
      </w:r>
      <w:r w:rsidRPr="00CC440E">
        <w:rPr>
          <w:sz w:val="16"/>
        </w:rPr>
        <w:t xml:space="preserve"> Some Boards and Accreditation Authorities may be further progressed in their work to embed cultural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Pr="00315933" w:rsidRDefault="000A6BF7" w:rsidP="00D638E0">
    <w:pPr>
      <w:ind w:left="-1134" w:right="-567"/>
      <w:jc w:val="right"/>
    </w:pPr>
  </w:p>
  <w:p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4E3604" w:rsidP="00E844A0">
    <w:r>
      <w:rPr>
        <w:noProof/>
      </w:rPr>
      <w:drawing>
        <wp:anchor distT="0" distB="0" distL="114300" distR="114300" simplePos="0" relativeHeight="251659264" behindDoc="0" locked="0" layoutInCell="1" allowOverlap="1" wp14:anchorId="7FD34514" wp14:editId="7FE13A32">
          <wp:simplePos x="0" y="0"/>
          <wp:positionH relativeFrom="column">
            <wp:posOffset>3779520</wp:posOffset>
          </wp:positionH>
          <wp:positionV relativeFrom="paragraph">
            <wp:posOffset>174625</wp:posOffset>
          </wp:positionV>
          <wp:extent cx="2535750" cy="1159200"/>
          <wp:effectExtent l="0" t="0" r="0" b="3175"/>
          <wp:wrapTopAndBottom/>
          <wp:docPr id="2" name="Picture 2" descr="Ahpra and the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2535750" cy="1159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249A5B9A"/>
    <w:multiLevelType w:val="hybridMultilevel"/>
    <w:tmpl w:val="FB16421E"/>
    <w:lvl w:ilvl="0" w:tplc="040CBD50">
      <w:start w:val="1"/>
      <w:numFmt w:val="bullet"/>
      <w:lvlText w:val="•"/>
      <w:lvlJc w:val="left"/>
      <w:pPr>
        <w:tabs>
          <w:tab w:val="num" w:pos="360"/>
        </w:tabs>
        <w:ind w:left="360" w:hanging="360"/>
      </w:pPr>
      <w:rPr>
        <w:rFonts w:ascii="Calibri" w:hAnsi="Calibri" w:hint="default"/>
      </w:rPr>
    </w:lvl>
    <w:lvl w:ilvl="1" w:tplc="1C24007E">
      <w:start w:val="1"/>
      <w:numFmt w:val="bullet"/>
      <w:lvlText w:val="•"/>
      <w:lvlJc w:val="left"/>
      <w:pPr>
        <w:tabs>
          <w:tab w:val="num" w:pos="1080"/>
        </w:tabs>
        <w:ind w:left="1080" w:hanging="360"/>
      </w:pPr>
      <w:rPr>
        <w:rFonts w:ascii="Calibri" w:hAnsi="Calibri" w:hint="default"/>
      </w:rPr>
    </w:lvl>
    <w:lvl w:ilvl="2" w:tplc="63A65AA0">
      <w:start w:val="1"/>
      <w:numFmt w:val="bullet"/>
      <w:lvlText w:val="•"/>
      <w:lvlJc w:val="left"/>
      <w:pPr>
        <w:tabs>
          <w:tab w:val="num" w:pos="1800"/>
        </w:tabs>
        <w:ind w:left="1800" w:hanging="360"/>
      </w:pPr>
      <w:rPr>
        <w:rFonts w:ascii="Calibri" w:hAnsi="Calibri" w:hint="default"/>
      </w:rPr>
    </w:lvl>
    <w:lvl w:ilvl="3" w:tplc="347AA22C">
      <w:start w:val="1"/>
      <w:numFmt w:val="bullet"/>
      <w:lvlText w:val="•"/>
      <w:lvlJc w:val="left"/>
      <w:pPr>
        <w:tabs>
          <w:tab w:val="num" w:pos="2520"/>
        </w:tabs>
        <w:ind w:left="2520" w:hanging="360"/>
      </w:pPr>
      <w:rPr>
        <w:rFonts w:ascii="Calibri" w:hAnsi="Calibri" w:hint="default"/>
      </w:rPr>
    </w:lvl>
    <w:lvl w:ilvl="4" w:tplc="09E62F50">
      <w:start w:val="1"/>
      <w:numFmt w:val="bullet"/>
      <w:lvlText w:val="•"/>
      <w:lvlJc w:val="left"/>
      <w:pPr>
        <w:tabs>
          <w:tab w:val="num" w:pos="3240"/>
        </w:tabs>
        <w:ind w:left="3240" w:hanging="360"/>
      </w:pPr>
      <w:rPr>
        <w:rFonts w:ascii="Calibri" w:hAnsi="Calibri" w:hint="default"/>
      </w:rPr>
    </w:lvl>
    <w:lvl w:ilvl="5" w:tplc="8C201076">
      <w:start w:val="1"/>
      <w:numFmt w:val="bullet"/>
      <w:lvlText w:val="•"/>
      <w:lvlJc w:val="left"/>
      <w:pPr>
        <w:tabs>
          <w:tab w:val="num" w:pos="3960"/>
        </w:tabs>
        <w:ind w:left="3960" w:hanging="360"/>
      </w:pPr>
      <w:rPr>
        <w:rFonts w:ascii="Calibri" w:hAnsi="Calibri" w:hint="default"/>
      </w:rPr>
    </w:lvl>
    <w:lvl w:ilvl="6" w:tplc="062C0952">
      <w:start w:val="1"/>
      <w:numFmt w:val="bullet"/>
      <w:lvlText w:val="•"/>
      <w:lvlJc w:val="left"/>
      <w:pPr>
        <w:tabs>
          <w:tab w:val="num" w:pos="4680"/>
        </w:tabs>
        <w:ind w:left="4680" w:hanging="360"/>
      </w:pPr>
      <w:rPr>
        <w:rFonts w:ascii="Calibri" w:hAnsi="Calibri" w:hint="default"/>
      </w:rPr>
    </w:lvl>
    <w:lvl w:ilvl="7" w:tplc="0D5E4A04">
      <w:start w:val="1"/>
      <w:numFmt w:val="bullet"/>
      <w:lvlText w:val="•"/>
      <w:lvlJc w:val="left"/>
      <w:pPr>
        <w:tabs>
          <w:tab w:val="num" w:pos="5400"/>
        </w:tabs>
        <w:ind w:left="5400" w:hanging="360"/>
      </w:pPr>
      <w:rPr>
        <w:rFonts w:ascii="Calibri" w:hAnsi="Calibri" w:hint="default"/>
      </w:rPr>
    </w:lvl>
    <w:lvl w:ilvl="8" w:tplc="D5C6AAD0">
      <w:start w:val="1"/>
      <w:numFmt w:val="bullet"/>
      <w:lvlText w:val="•"/>
      <w:lvlJc w:val="left"/>
      <w:pPr>
        <w:tabs>
          <w:tab w:val="num" w:pos="6120"/>
        </w:tabs>
        <w:ind w:left="6120" w:hanging="360"/>
      </w:pPr>
      <w:rPr>
        <w:rFonts w:ascii="Calibri" w:hAnsi="Calibri" w:hint="default"/>
      </w:rPr>
    </w:lvl>
  </w:abstractNum>
  <w:abstractNum w:abstractNumId="4"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2D02E4"/>
    <w:multiLevelType w:val="multilevel"/>
    <w:tmpl w:val="A8240A3C"/>
    <w:numStyleLink w:val="AHPRANumberedlist"/>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0E"/>
    <w:rsid w:val="00000033"/>
    <w:rsid w:val="00006922"/>
    <w:rsid w:val="000334D7"/>
    <w:rsid w:val="00071439"/>
    <w:rsid w:val="000945FB"/>
    <w:rsid w:val="00095CEB"/>
    <w:rsid w:val="000A6BF7"/>
    <w:rsid w:val="000C0F66"/>
    <w:rsid w:val="0010139F"/>
    <w:rsid w:val="001017A4"/>
    <w:rsid w:val="00144DEF"/>
    <w:rsid w:val="001B26AD"/>
    <w:rsid w:val="001C425C"/>
    <w:rsid w:val="001E1E31"/>
    <w:rsid w:val="001E2849"/>
    <w:rsid w:val="001E4A94"/>
    <w:rsid w:val="001E5621"/>
    <w:rsid w:val="00220A3B"/>
    <w:rsid w:val="0028013F"/>
    <w:rsid w:val="00295B44"/>
    <w:rsid w:val="002B2D48"/>
    <w:rsid w:val="002C08FB"/>
    <w:rsid w:val="002C34EA"/>
    <w:rsid w:val="00303BE1"/>
    <w:rsid w:val="00305AFC"/>
    <w:rsid w:val="003354E4"/>
    <w:rsid w:val="003855BC"/>
    <w:rsid w:val="003C610F"/>
    <w:rsid w:val="003D6DBD"/>
    <w:rsid w:val="003E00B5"/>
    <w:rsid w:val="003E3268"/>
    <w:rsid w:val="003F2F06"/>
    <w:rsid w:val="00405C0A"/>
    <w:rsid w:val="00414F2C"/>
    <w:rsid w:val="00450B34"/>
    <w:rsid w:val="004606A7"/>
    <w:rsid w:val="00481042"/>
    <w:rsid w:val="004A4D2E"/>
    <w:rsid w:val="004A5E5D"/>
    <w:rsid w:val="004B747B"/>
    <w:rsid w:val="004D7537"/>
    <w:rsid w:val="004E3604"/>
    <w:rsid w:val="004F5C05"/>
    <w:rsid w:val="00521034"/>
    <w:rsid w:val="00523DB1"/>
    <w:rsid w:val="005330A7"/>
    <w:rsid w:val="00553A4C"/>
    <w:rsid w:val="00554335"/>
    <w:rsid w:val="005565CE"/>
    <w:rsid w:val="005708AE"/>
    <w:rsid w:val="005A0FA9"/>
    <w:rsid w:val="005C5932"/>
    <w:rsid w:val="005C6817"/>
    <w:rsid w:val="00616043"/>
    <w:rsid w:val="00640B2C"/>
    <w:rsid w:val="00667CAD"/>
    <w:rsid w:val="00681D5E"/>
    <w:rsid w:val="006C0257"/>
    <w:rsid w:val="006C0E29"/>
    <w:rsid w:val="006D30FE"/>
    <w:rsid w:val="006D3757"/>
    <w:rsid w:val="006E38F0"/>
    <w:rsid w:val="006F7348"/>
    <w:rsid w:val="006F796D"/>
    <w:rsid w:val="0070155F"/>
    <w:rsid w:val="007372A4"/>
    <w:rsid w:val="00741B04"/>
    <w:rsid w:val="0076115C"/>
    <w:rsid w:val="007664F3"/>
    <w:rsid w:val="007A35B9"/>
    <w:rsid w:val="007B77D6"/>
    <w:rsid w:val="007C0B6E"/>
    <w:rsid w:val="007D4836"/>
    <w:rsid w:val="007E2C84"/>
    <w:rsid w:val="007F0095"/>
    <w:rsid w:val="007F7C16"/>
    <w:rsid w:val="008338F7"/>
    <w:rsid w:val="00836397"/>
    <w:rsid w:val="00845054"/>
    <w:rsid w:val="00852D1C"/>
    <w:rsid w:val="00856147"/>
    <w:rsid w:val="00860F40"/>
    <w:rsid w:val="008615C9"/>
    <w:rsid w:val="00864020"/>
    <w:rsid w:val="008979D5"/>
    <w:rsid w:val="008A4C3B"/>
    <w:rsid w:val="008B2AD7"/>
    <w:rsid w:val="008C738C"/>
    <w:rsid w:val="008C775C"/>
    <w:rsid w:val="008D6B7E"/>
    <w:rsid w:val="008D7845"/>
    <w:rsid w:val="00915CA3"/>
    <w:rsid w:val="0092102A"/>
    <w:rsid w:val="00923B23"/>
    <w:rsid w:val="0092765E"/>
    <w:rsid w:val="00937ED0"/>
    <w:rsid w:val="00952797"/>
    <w:rsid w:val="009777D3"/>
    <w:rsid w:val="009859E6"/>
    <w:rsid w:val="009A0A5D"/>
    <w:rsid w:val="009C6933"/>
    <w:rsid w:val="00A04C7A"/>
    <w:rsid w:val="00A058E5"/>
    <w:rsid w:val="00A10C1A"/>
    <w:rsid w:val="00A2072E"/>
    <w:rsid w:val="00A237BB"/>
    <w:rsid w:val="00A55805"/>
    <w:rsid w:val="00A82078"/>
    <w:rsid w:val="00A838C8"/>
    <w:rsid w:val="00A91C42"/>
    <w:rsid w:val="00A9516B"/>
    <w:rsid w:val="00A9780A"/>
    <w:rsid w:val="00AA00AF"/>
    <w:rsid w:val="00AA2FC9"/>
    <w:rsid w:val="00AB283D"/>
    <w:rsid w:val="00AD312E"/>
    <w:rsid w:val="00AE3EAF"/>
    <w:rsid w:val="00B024B0"/>
    <w:rsid w:val="00B51748"/>
    <w:rsid w:val="00B5587F"/>
    <w:rsid w:val="00B57198"/>
    <w:rsid w:val="00B85023"/>
    <w:rsid w:val="00B91200"/>
    <w:rsid w:val="00BA0593"/>
    <w:rsid w:val="00BA469B"/>
    <w:rsid w:val="00BB4A5B"/>
    <w:rsid w:val="00BF2534"/>
    <w:rsid w:val="00BF79DC"/>
    <w:rsid w:val="00C35DE1"/>
    <w:rsid w:val="00C524AA"/>
    <w:rsid w:val="00C54689"/>
    <w:rsid w:val="00C609E2"/>
    <w:rsid w:val="00C81B3A"/>
    <w:rsid w:val="00CB21F6"/>
    <w:rsid w:val="00CB6C08"/>
    <w:rsid w:val="00CC440E"/>
    <w:rsid w:val="00CD0DCA"/>
    <w:rsid w:val="00D12F61"/>
    <w:rsid w:val="00D201C6"/>
    <w:rsid w:val="00D31FF2"/>
    <w:rsid w:val="00D638E0"/>
    <w:rsid w:val="00D716BA"/>
    <w:rsid w:val="00D8404D"/>
    <w:rsid w:val="00DC2952"/>
    <w:rsid w:val="00DF1AB7"/>
    <w:rsid w:val="00E07C02"/>
    <w:rsid w:val="00E12B06"/>
    <w:rsid w:val="00E15BF6"/>
    <w:rsid w:val="00E70CB8"/>
    <w:rsid w:val="00E71CB9"/>
    <w:rsid w:val="00E73698"/>
    <w:rsid w:val="00E8251C"/>
    <w:rsid w:val="00E844A0"/>
    <w:rsid w:val="00F13ED2"/>
    <w:rsid w:val="00F27ACB"/>
    <w:rsid w:val="00F3616F"/>
    <w:rsid w:val="00F618F6"/>
    <w:rsid w:val="00F6618F"/>
    <w:rsid w:val="00F66578"/>
    <w:rsid w:val="00F70DD5"/>
    <w:rsid w:val="00F73165"/>
    <w:rsid w:val="00F80035"/>
    <w:rsid w:val="00F90BCE"/>
    <w:rsid w:val="00FC2881"/>
    <w:rsid w:val="00FD2A3D"/>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C398DD-C0AA-4477-9388-B571C9F7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customStyle="1" w:styleId="Default">
    <w:name w:val="Default"/>
    <w:rsid w:val="004E3604"/>
    <w:pPr>
      <w:autoSpaceDE w:val="0"/>
      <w:autoSpaceDN w:val="0"/>
      <w:adjustRightInd w:val="0"/>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56NKCP7LmgCV9V2T6MA3D?domain=humanrights.gov.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u.mimecast.com/s/d7tnCOMKlLfQlQgFrwMU0?domain=safetyandquality.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2sSdCNLJDXiyJyQIjOF5M?domain=www1.health.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pra.gov.au/About-AHPRA/Aboriginal-and-Torres-Strait-Islander-Health-Strateg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ller\AppData\Local\Microsoft\Windows\Temporary%20Internet%20Files\Content.Outlook\FF570HRI\Cultural%20safety%20definition%20communiq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508F-9BBA-42EC-A91D-F99C01AB7E4C}">
  <ds:schemaRefs>
    <ds:schemaRef ds:uri="http://schemas.microsoft.com/sharepoint/v3/contenttype/forms"/>
  </ds:schemaRefs>
</ds:datastoreItem>
</file>

<file path=customXml/itemProps2.xml><?xml version="1.0" encoding="utf-8"?>
<ds:datastoreItem xmlns:ds="http://schemas.openxmlformats.org/officeDocument/2006/customXml" ds:itemID="{5716266F-5854-4034-8D29-75C3B85FAB3E}">
  <ds:schemaRefs>
    <ds:schemaRef ds:uri="http://schemas.microsoft.com/office/2006/metadata/properties"/>
    <ds:schemaRef ds:uri="761d48cd-bbec-4535-8dcc-f08ff2afd866"/>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3ae841f7-cbf9-4fa0-aaff-a3738286b7ea"/>
  </ds:schemaRefs>
</ds:datastoreItem>
</file>

<file path=customXml/itemProps3.xml><?xml version="1.0" encoding="utf-8"?>
<ds:datastoreItem xmlns:ds="http://schemas.openxmlformats.org/officeDocument/2006/customXml" ds:itemID="{A8159832-CB6A-4920-8BE3-D96035FF2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88957-4BC0-4AFA-94E9-EB534B97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Cultural safety definition communique</Template>
  <TotalTime>1</TotalTime>
  <Pages>2</Pages>
  <Words>571</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Communique - Meeting of the Aboriginal and Torres Strait Islander health strategy group</vt:lpstr>
    </vt:vector>
  </TitlesOfParts>
  <Company/>
  <LinksUpToDate>false</LinksUpToDate>
  <CharactersWithSpaces>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Aboriginal and Torres Strait Islander health strategy group</dc:title>
  <dc:subject>Communique</dc:subject>
  <dc:creator>ATSIHPBA</dc:creator>
  <cp:lastModifiedBy>Sheryl Kamath</cp:lastModifiedBy>
  <cp:revision>2</cp:revision>
  <cp:lastPrinted>2010-06-23T03:38:00Z</cp:lastPrinted>
  <dcterms:created xsi:type="dcterms:W3CDTF">2019-12-12T23:09:00Z</dcterms:created>
  <dcterms:modified xsi:type="dcterms:W3CDTF">2019-12-12T23:09:00Z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