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81" w:rsidRPr="00C3795C" w:rsidRDefault="00174F04" w:rsidP="00174F04">
      <w:pPr>
        <w:pStyle w:val="AHPRADocumenttitle"/>
        <w:jc w:val="both"/>
      </w:pPr>
      <w:bookmarkStart w:id="0" w:name="_GoBack"/>
      <w:r>
        <w:t xml:space="preserve">Witness expenses information sheet – Tribunal </w:t>
      </w:r>
      <w:r w:rsidR="007A03ED">
        <w:t>proceedings</w:t>
      </w:r>
    </w:p>
    <w:bookmarkEnd w:id="0"/>
    <w:p w:rsidR="00C3795C" w:rsidRDefault="009A29CB" w:rsidP="00174F04">
      <w:pPr>
        <w:jc w:val="both"/>
        <w:outlineLvl w:val="0"/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63.15pt;margin-top:.95pt;width:253.55pt;height:0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w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2AyvMZR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"/>
        </w:pict>
      </w:r>
    </w:p>
    <w:p w:rsidR="007A03ED" w:rsidRDefault="007A03ED" w:rsidP="00174F0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are summonsed </w:t>
      </w:r>
      <w:r w:rsidR="00F61F9B">
        <w:rPr>
          <w:rFonts w:cs="Arial"/>
          <w:sz w:val="20"/>
          <w:szCs w:val="20"/>
        </w:rPr>
        <w:t xml:space="preserve">or otherwise asked </w:t>
      </w:r>
      <w:r>
        <w:rPr>
          <w:rFonts w:cs="Arial"/>
          <w:sz w:val="20"/>
          <w:szCs w:val="20"/>
        </w:rPr>
        <w:t xml:space="preserve">by a National Board to appear as a witness in Tribunal proceedings, you can apply to claim </w:t>
      </w:r>
      <w:r w:rsidR="007F22C5">
        <w:rPr>
          <w:rFonts w:cs="Arial"/>
          <w:sz w:val="20"/>
          <w:szCs w:val="20"/>
        </w:rPr>
        <w:t>certain</w:t>
      </w:r>
      <w:r>
        <w:rPr>
          <w:rFonts w:cs="Arial"/>
          <w:sz w:val="20"/>
          <w:szCs w:val="20"/>
        </w:rPr>
        <w:t xml:space="preserve"> expenses for attending the hearing.</w:t>
      </w:r>
    </w:p>
    <w:p w:rsidR="007A03ED" w:rsidRPr="007A03ED" w:rsidRDefault="007A03ED" w:rsidP="007A03ED">
      <w:pPr>
        <w:pStyle w:val="AHPRASubheading"/>
        <w:jc w:val="both"/>
      </w:pPr>
      <w:r w:rsidRPr="007A03ED">
        <w:t xml:space="preserve">What </w:t>
      </w:r>
      <w:r>
        <w:t>expenses can I claim?</w:t>
      </w:r>
    </w:p>
    <w:p w:rsidR="007A03ED" w:rsidRDefault="007A03ED" w:rsidP="00174F0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can claim reasonable expenses for:</w:t>
      </w:r>
    </w:p>
    <w:p w:rsidR="007A03ED" w:rsidRPr="00A31A9B" w:rsidRDefault="007A03ED" w:rsidP="00A31A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A03ED">
        <w:rPr>
          <w:rFonts w:ascii="Arial" w:hAnsi="Arial" w:cs="Arial"/>
          <w:sz w:val="20"/>
          <w:szCs w:val="20"/>
        </w:rPr>
        <w:t xml:space="preserve">travelling </w:t>
      </w:r>
      <w:r>
        <w:rPr>
          <w:rFonts w:ascii="Arial" w:hAnsi="Arial" w:cs="Arial"/>
          <w:sz w:val="20"/>
          <w:szCs w:val="20"/>
        </w:rPr>
        <w:t xml:space="preserve">to and from </w:t>
      </w:r>
      <w:r w:rsidR="000451B0">
        <w:rPr>
          <w:rFonts w:ascii="Arial" w:hAnsi="Arial" w:cs="Arial"/>
          <w:sz w:val="20"/>
          <w:szCs w:val="20"/>
        </w:rPr>
        <w:t>the Tribu</w:t>
      </w:r>
      <w:r w:rsidR="000451B0" w:rsidRPr="007832DA">
        <w:rPr>
          <w:rFonts w:ascii="Arial" w:hAnsi="Arial" w:cs="Arial"/>
          <w:sz w:val="20"/>
          <w:szCs w:val="20"/>
        </w:rPr>
        <w:t>nal, including parking;</w:t>
      </w:r>
    </w:p>
    <w:p w:rsidR="007A03ED" w:rsidRDefault="00104BC8" w:rsidP="00A31A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flights and</w:t>
      </w:r>
      <w:r w:rsidR="00F61F9B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overnight </w:t>
      </w:r>
      <w:r w:rsidR="007A03ED">
        <w:rPr>
          <w:rFonts w:ascii="Arial" w:hAnsi="Arial" w:cs="Arial"/>
          <w:sz w:val="20"/>
          <w:szCs w:val="20"/>
        </w:rPr>
        <w:t>accommodation</w:t>
      </w:r>
      <w:r>
        <w:rPr>
          <w:rFonts w:ascii="Arial" w:hAnsi="Arial" w:cs="Arial"/>
          <w:sz w:val="20"/>
          <w:szCs w:val="20"/>
        </w:rPr>
        <w:t xml:space="preserve"> if travelling </w:t>
      </w:r>
      <w:r w:rsidR="00F61F9B">
        <w:rPr>
          <w:rFonts w:ascii="Arial" w:hAnsi="Arial" w:cs="Arial"/>
          <w:sz w:val="20"/>
          <w:szCs w:val="20"/>
        </w:rPr>
        <w:t>a long distance and AHPRA agrees they are necessary</w:t>
      </w:r>
      <w:r w:rsidR="007A03ED">
        <w:rPr>
          <w:rFonts w:ascii="Arial" w:hAnsi="Arial" w:cs="Arial"/>
          <w:sz w:val="20"/>
          <w:szCs w:val="20"/>
        </w:rPr>
        <w:t>;</w:t>
      </w:r>
    </w:p>
    <w:p w:rsidR="009B1FD3" w:rsidRDefault="009B1FD3" w:rsidP="009B1FD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A03ED">
        <w:rPr>
          <w:rFonts w:ascii="Arial" w:hAnsi="Arial" w:cs="Arial"/>
          <w:sz w:val="20"/>
          <w:szCs w:val="20"/>
        </w:rPr>
        <w:t>meals</w:t>
      </w:r>
      <w:r>
        <w:rPr>
          <w:rFonts w:ascii="Arial" w:hAnsi="Arial" w:cs="Arial"/>
          <w:sz w:val="20"/>
          <w:szCs w:val="20"/>
        </w:rPr>
        <w:t xml:space="preserve"> if staying overnight</w:t>
      </w:r>
      <w:r w:rsidR="00F61F9B">
        <w:rPr>
          <w:rFonts w:ascii="Arial" w:hAnsi="Arial" w:cs="Arial"/>
          <w:sz w:val="20"/>
          <w:szCs w:val="20"/>
        </w:rPr>
        <w:t xml:space="preserve"> and/or travelling a long distance, attending multiple days, or AHPRA otherwise agrees</w:t>
      </w:r>
      <w:r>
        <w:rPr>
          <w:rFonts w:ascii="Arial" w:hAnsi="Arial" w:cs="Arial"/>
          <w:sz w:val="20"/>
          <w:szCs w:val="20"/>
        </w:rPr>
        <w:t>;</w:t>
      </w:r>
    </w:p>
    <w:p w:rsidR="00B818FB" w:rsidRPr="009B1FD3" w:rsidRDefault="00B818FB" w:rsidP="009B1FD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incidental expenses;</w:t>
      </w:r>
    </w:p>
    <w:p w:rsidR="007A03ED" w:rsidRPr="00F91163" w:rsidRDefault="00B818FB" w:rsidP="00A31A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91163">
        <w:rPr>
          <w:rFonts w:ascii="Arial" w:hAnsi="Arial" w:cs="Arial"/>
          <w:sz w:val="20"/>
          <w:szCs w:val="20"/>
        </w:rPr>
        <w:t>witness attendance allowance (</w:t>
      </w:r>
      <w:r w:rsidR="007F22C5" w:rsidRPr="00F91163">
        <w:rPr>
          <w:rFonts w:ascii="Arial" w:hAnsi="Arial" w:cs="Arial"/>
          <w:sz w:val="20"/>
          <w:szCs w:val="20"/>
        </w:rPr>
        <w:t xml:space="preserve">depending on the </w:t>
      </w:r>
      <w:r w:rsidRPr="00F91163">
        <w:rPr>
          <w:rFonts w:ascii="Arial" w:hAnsi="Arial" w:cs="Arial"/>
          <w:sz w:val="20"/>
          <w:szCs w:val="20"/>
        </w:rPr>
        <w:t xml:space="preserve">State </w:t>
      </w:r>
      <w:r w:rsidR="007F22C5" w:rsidRPr="00F91163">
        <w:rPr>
          <w:rFonts w:ascii="Arial" w:hAnsi="Arial" w:cs="Arial"/>
          <w:sz w:val="20"/>
          <w:szCs w:val="20"/>
        </w:rPr>
        <w:t>or Territory you are in</w:t>
      </w:r>
      <w:r w:rsidRPr="00F91163">
        <w:rPr>
          <w:rFonts w:ascii="Arial" w:hAnsi="Arial" w:cs="Arial"/>
          <w:sz w:val="20"/>
          <w:szCs w:val="20"/>
        </w:rPr>
        <w:t>)</w:t>
      </w:r>
      <w:r w:rsidR="007A03ED" w:rsidRPr="00F91163">
        <w:rPr>
          <w:rFonts w:ascii="Arial" w:hAnsi="Arial" w:cs="Arial"/>
          <w:sz w:val="20"/>
          <w:szCs w:val="20"/>
        </w:rPr>
        <w:t>; and</w:t>
      </w:r>
    </w:p>
    <w:p w:rsidR="007A03ED" w:rsidRPr="00F91163" w:rsidRDefault="007A03ED" w:rsidP="00A31A9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91163">
        <w:rPr>
          <w:rFonts w:ascii="Arial" w:hAnsi="Arial" w:cs="Arial"/>
          <w:sz w:val="20"/>
          <w:szCs w:val="20"/>
        </w:rPr>
        <w:t>accompanying a witness</w:t>
      </w:r>
      <w:r w:rsidR="00B929A1">
        <w:rPr>
          <w:rFonts w:ascii="Arial" w:hAnsi="Arial" w:cs="Arial"/>
          <w:sz w:val="20"/>
          <w:szCs w:val="20"/>
        </w:rPr>
        <w:t xml:space="preserve"> who requires support</w:t>
      </w:r>
      <w:r w:rsidR="00104BC8" w:rsidRPr="00F91163">
        <w:rPr>
          <w:rFonts w:ascii="Arial" w:hAnsi="Arial" w:cs="Arial"/>
          <w:sz w:val="20"/>
          <w:szCs w:val="20"/>
        </w:rPr>
        <w:t>.</w:t>
      </w:r>
    </w:p>
    <w:p w:rsidR="00174F04" w:rsidRPr="00104BC8" w:rsidRDefault="00104BC8" w:rsidP="00104BC8">
      <w:pPr>
        <w:pStyle w:val="AHPRASubheading"/>
        <w:jc w:val="both"/>
      </w:pPr>
      <w:r w:rsidRPr="00F91163">
        <w:t>What are reasonable expenses?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B1FD3" w:rsidRPr="009B1FD3" w:rsidTr="009B1FD3">
        <w:tc>
          <w:tcPr>
            <w:tcW w:w="4811" w:type="dxa"/>
          </w:tcPr>
          <w:p w:rsidR="009B1FD3" w:rsidRPr="009B1FD3" w:rsidRDefault="009B1FD3" w:rsidP="007A03ED">
            <w:pPr>
              <w:pStyle w:val="AHPRASubheading"/>
              <w:jc w:val="both"/>
              <w:rPr>
                <w:color w:val="auto"/>
              </w:rPr>
            </w:pPr>
            <w:r w:rsidRPr="009B1FD3">
              <w:rPr>
                <w:color w:val="auto"/>
              </w:rPr>
              <w:t>Expense</w:t>
            </w:r>
          </w:p>
        </w:tc>
        <w:tc>
          <w:tcPr>
            <w:tcW w:w="4811" w:type="dxa"/>
          </w:tcPr>
          <w:p w:rsidR="009B1FD3" w:rsidRPr="009B1FD3" w:rsidRDefault="009B1FD3" w:rsidP="007A03ED">
            <w:pPr>
              <w:pStyle w:val="AHPRASubheading"/>
              <w:jc w:val="both"/>
              <w:rPr>
                <w:color w:val="auto"/>
              </w:rPr>
            </w:pPr>
            <w:r w:rsidRPr="009B1FD3">
              <w:rPr>
                <w:color w:val="auto"/>
              </w:rPr>
              <w:t>Entitlement</w:t>
            </w:r>
          </w:p>
        </w:tc>
      </w:tr>
      <w:tr w:rsidR="009B1FD3" w:rsidTr="009B1FD3">
        <w:tc>
          <w:tcPr>
            <w:tcW w:w="4811" w:type="dxa"/>
          </w:tcPr>
          <w:p w:rsidR="009B1FD3" w:rsidRPr="009B1FD3" w:rsidRDefault="009B1FD3" w:rsidP="0084235F">
            <w:pPr>
              <w:pStyle w:val="AHPRASubheading"/>
              <w:jc w:val="both"/>
              <w:rPr>
                <w:b w:val="0"/>
                <w:color w:val="auto"/>
              </w:rPr>
            </w:pPr>
            <w:r w:rsidRPr="009B1FD3">
              <w:rPr>
                <w:b w:val="0"/>
                <w:color w:val="auto"/>
              </w:rPr>
              <w:t>Local transport</w:t>
            </w:r>
            <w:r>
              <w:rPr>
                <w:b w:val="0"/>
                <w:color w:val="auto"/>
              </w:rPr>
              <w:t xml:space="preserve"> (buses, trains, trams, private vehicles, taxis)</w:t>
            </w:r>
          </w:p>
        </w:tc>
        <w:tc>
          <w:tcPr>
            <w:tcW w:w="4811" w:type="dxa"/>
          </w:tcPr>
          <w:p w:rsidR="009B1FD3" w:rsidRPr="008376F7" w:rsidRDefault="008376F7" w:rsidP="0084235F">
            <w:pPr>
              <w:pStyle w:val="AHPRASubheading"/>
              <w:jc w:val="both"/>
              <w:rPr>
                <w:b w:val="0"/>
                <w:color w:val="auto"/>
              </w:rPr>
            </w:pPr>
            <w:r w:rsidRPr="008376F7">
              <w:rPr>
                <w:b w:val="0"/>
                <w:color w:val="auto"/>
              </w:rPr>
              <w:t xml:space="preserve">AHPRA will cover </w:t>
            </w:r>
            <w:r w:rsidR="006354DA">
              <w:rPr>
                <w:b w:val="0"/>
                <w:color w:val="auto"/>
              </w:rPr>
              <w:t xml:space="preserve">taxi or </w:t>
            </w:r>
            <w:r w:rsidRPr="008376F7">
              <w:rPr>
                <w:b w:val="0"/>
                <w:color w:val="auto"/>
              </w:rPr>
              <w:t>public transport costs</w:t>
            </w:r>
            <w:r>
              <w:rPr>
                <w:b w:val="0"/>
                <w:color w:val="auto"/>
              </w:rPr>
              <w:t xml:space="preserve"> </w:t>
            </w:r>
            <w:r w:rsidR="007F22C5">
              <w:rPr>
                <w:b w:val="0"/>
                <w:color w:val="auto"/>
              </w:rPr>
              <w:t>for the trip</w:t>
            </w:r>
            <w:r>
              <w:rPr>
                <w:b w:val="0"/>
                <w:color w:val="auto"/>
              </w:rPr>
              <w:t xml:space="preserve"> from your </w:t>
            </w:r>
            <w:r w:rsidR="009C3544">
              <w:rPr>
                <w:b w:val="0"/>
                <w:color w:val="auto"/>
              </w:rPr>
              <w:t xml:space="preserve">place of employment or residence </w:t>
            </w:r>
            <w:r w:rsidR="006354DA">
              <w:rPr>
                <w:b w:val="0"/>
                <w:color w:val="auto"/>
              </w:rPr>
              <w:t xml:space="preserve">or </w:t>
            </w:r>
            <w:r w:rsidR="004644B7">
              <w:rPr>
                <w:b w:val="0"/>
                <w:color w:val="auto"/>
              </w:rPr>
              <w:t xml:space="preserve">hotel if you have travelled for the hearing </w:t>
            </w:r>
            <w:r w:rsidR="0084235F">
              <w:rPr>
                <w:b w:val="0"/>
                <w:color w:val="auto"/>
              </w:rPr>
              <w:t>to the Tribunal</w:t>
            </w:r>
            <w:r w:rsidR="00B818FB">
              <w:rPr>
                <w:b w:val="0"/>
                <w:color w:val="auto"/>
              </w:rPr>
              <w:t xml:space="preserve"> and back</w:t>
            </w:r>
            <w:r w:rsidR="0084235F">
              <w:rPr>
                <w:b w:val="0"/>
                <w:color w:val="auto"/>
              </w:rPr>
              <w:t xml:space="preserve">, </w:t>
            </w:r>
            <w:r w:rsidR="00F61F9B">
              <w:rPr>
                <w:b w:val="0"/>
                <w:color w:val="auto"/>
              </w:rPr>
              <w:t xml:space="preserve">with a minimum payment to you of </w:t>
            </w:r>
            <w:r w:rsidR="0084235F">
              <w:rPr>
                <w:b w:val="0"/>
                <w:color w:val="auto"/>
              </w:rPr>
              <w:t>$10.</w:t>
            </w:r>
            <w:r w:rsidR="004644B7">
              <w:rPr>
                <w:b w:val="0"/>
                <w:color w:val="auto"/>
              </w:rPr>
              <w:t xml:space="preserve"> </w:t>
            </w:r>
          </w:p>
          <w:p w:rsidR="00A25802" w:rsidRPr="008376F7" w:rsidRDefault="00860E35" w:rsidP="000A6232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If you use your private vehicle </w:t>
            </w:r>
            <w:r w:rsidR="008376F7">
              <w:rPr>
                <w:b w:val="0"/>
                <w:color w:val="auto"/>
              </w:rPr>
              <w:t xml:space="preserve">AHPRA will reimburse you </w:t>
            </w:r>
            <w:r w:rsidR="0084235F">
              <w:rPr>
                <w:b w:val="0"/>
                <w:color w:val="auto"/>
              </w:rPr>
              <w:t xml:space="preserve">a motor vehicle allowance </w:t>
            </w:r>
            <w:r w:rsidR="006354DA">
              <w:rPr>
                <w:b w:val="0"/>
                <w:color w:val="auto"/>
              </w:rPr>
              <w:t xml:space="preserve">(including road tolls) </w:t>
            </w:r>
            <w:r w:rsidR="0084235F">
              <w:rPr>
                <w:b w:val="0"/>
                <w:color w:val="auto"/>
              </w:rPr>
              <w:t xml:space="preserve">based on </w:t>
            </w:r>
            <w:r w:rsidR="008376F7">
              <w:rPr>
                <w:b w:val="0"/>
                <w:color w:val="auto"/>
              </w:rPr>
              <w:t xml:space="preserve">the kilometres travelled from your </w:t>
            </w:r>
            <w:r w:rsidR="0084235F">
              <w:rPr>
                <w:b w:val="0"/>
                <w:color w:val="auto"/>
              </w:rPr>
              <w:t xml:space="preserve">place of employment or </w:t>
            </w:r>
            <w:r w:rsidR="009C3544">
              <w:rPr>
                <w:b w:val="0"/>
                <w:color w:val="auto"/>
              </w:rPr>
              <w:t xml:space="preserve">residence </w:t>
            </w:r>
            <w:r w:rsidR="008376F7">
              <w:rPr>
                <w:b w:val="0"/>
                <w:color w:val="auto"/>
              </w:rPr>
              <w:t>to the Tribunal and back, or part of the journey to reach public transport.</w:t>
            </w:r>
            <w:r w:rsidR="000A6232">
              <w:rPr>
                <w:b w:val="0"/>
                <w:color w:val="auto"/>
              </w:rPr>
              <w:t xml:space="preserve">   Please let us know the location you are travelling from and the engine size of your vehicle.  </w:t>
            </w:r>
          </w:p>
        </w:tc>
      </w:tr>
      <w:tr w:rsidR="009B1FD3" w:rsidTr="009B1FD3">
        <w:tc>
          <w:tcPr>
            <w:tcW w:w="4811" w:type="dxa"/>
          </w:tcPr>
          <w:p w:rsidR="009B1FD3" w:rsidRDefault="009B1FD3" w:rsidP="0084235F">
            <w:pPr>
              <w:pStyle w:val="AHPRASubheading"/>
              <w:jc w:val="both"/>
            </w:pPr>
            <w:r w:rsidRPr="009B1FD3">
              <w:rPr>
                <w:b w:val="0"/>
                <w:color w:val="auto"/>
              </w:rPr>
              <w:t>Parking expenses</w:t>
            </w:r>
          </w:p>
        </w:tc>
        <w:tc>
          <w:tcPr>
            <w:tcW w:w="4811" w:type="dxa"/>
          </w:tcPr>
          <w:p w:rsidR="009B1FD3" w:rsidRDefault="008B7FF3" w:rsidP="0084235F">
            <w:pPr>
              <w:pStyle w:val="AHPRASubheading"/>
              <w:jc w:val="both"/>
            </w:pPr>
            <w:r>
              <w:rPr>
                <w:b w:val="0"/>
                <w:color w:val="auto"/>
              </w:rPr>
              <w:t xml:space="preserve">If you use your private vehicle, </w:t>
            </w:r>
            <w:r w:rsidR="0061109E" w:rsidRPr="0061109E">
              <w:rPr>
                <w:b w:val="0"/>
                <w:color w:val="auto"/>
              </w:rPr>
              <w:t>AHPRA</w:t>
            </w:r>
            <w:r w:rsidR="0061109E">
              <w:rPr>
                <w:b w:val="0"/>
                <w:color w:val="auto"/>
              </w:rPr>
              <w:t xml:space="preserve"> will reimburse you for </w:t>
            </w:r>
            <w:r w:rsidR="00B818FB">
              <w:rPr>
                <w:b w:val="0"/>
                <w:color w:val="auto"/>
              </w:rPr>
              <w:t xml:space="preserve">reasonable </w:t>
            </w:r>
            <w:r w:rsidR="0061109E">
              <w:rPr>
                <w:b w:val="0"/>
                <w:color w:val="auto"/>
              </w:rPr>
              <w:t>parking expenses incurred</w:t>
            </w:r>
            <w:r>
              <w:rPr>
                <w:b w:val="0"/>
                <w:color w:val="auto"/>
              </w:rPr>
              <w:t xml:space="preserve"> on the day of the hearing</w:t>
            </w:r>
            <w:r w:rsidR="00055289">
              <w:rPr>
                <w:b w:val="0"/>
                <w:color w:val="auto"/>
              </w:rPr>
              <w:t xml:space="preserve"> for the time you are required to be present</w:t>
            </w:r>
            <w:r>
              <w:rPr>
                <w:b w:val="0"/>
                <w:color w:val="auto"/>
              </w:rPr>
              <w:t>.</w:t>
            </w:r>
          </w:p>
        </w:tc>
      </w:tr>
      <w:tr w:rsidR="009B1FD3" w:rsidRPr="009B1FD3" w:rsidTr="009B1FD3">
        <w:tc>
          <w:tcPr>
            <w:tcW w:w="4811" w:type="dxa"/>
          </w:tcPr>
          <w:p w:rsidR="009B1FD3" w:rsidRPr="009B1FD3" w:rsidRDefault="009B1FD3" w:rsidP="0084235F">
            <w:pPr>
              <w:pStyle w:val="AHPRASubheading"/>
              <w:jc w:val="both"/>
              <w:rPr>
                <w:b w:val="0"/>
                <w:color w:val="auto"/>
              </w:rPr>
            </w:pPr>
            <w:r w:rsidRPr="009B1FD3">
              <w:rPr>
                <w:b w:val="0"/>
                <w:color w:val="auto"/>
              </w:rPr>
              <w:t>Flights</w:t>
            </w:r>
          </w:p>
        </w:tc>
        <w:tc>
          <w:tcPr>
            <w:tcW w:w="4811" w:type="dxa"/>
          </w:tcPr>
          <w:p w:rsidR="009B1FD3" w:rsidRPr="009B1FD3" w:rsidRDefault="00AD6A34" w:rsidP="007F22C5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If you are travelling a long distance and AHPRA agrees</w:t>
            </w:r>
            <w:r w:rsidR="0077654E">
              <w:rPr>
                <w:b w:val="0"/>
                <w:color w:val="auto"/>
              </w:rPr>
              <w:t xml:space="preserve"> before you travel that</w:t>
            </w:r>
            <w:r>
              <w:rPr>
                <w:b w:val="0"/>
                <w:color w:val="auto"/>
              </w:rPr>
              <w:t xml:space="preserve"> it is appropriate</w:t>
            </w:r>
            <w:r w:rsidR="00860E35">
              <w:rPr>
                <w:b w:val="0"/>
                <w:color w:val="auto"/>
              </w:rPr>
              <w:t xml:space="preserve">, AHPRA will provide one economy class return ticket from your nearest airport.  AHPRA will book and pay for your flights in advance.  You will be </w:t>
            </w:r>
            <w:r w:rsidR="00860E35">
              <w:rPr>
                <w:b w:val="0"/>
                <w:color w:val="auto"/>
              </w:rPr>
              <w:lastRenderedPageBreak/>
              <w:t>notified of travel details.</w:t>
            </w:r>
          </w:p>
        </w:tc>
      </w:tr>
      <w:tr w:rsidR="009B1FD3" w:rsidRPr="009B1FD3" w:rsidTr="009B1FD3">
        <w:tc>
          <w:tcPr>
            <w:tcW w:w="4811" w:type="dxa"/>
          </w:tcPr>
          <w:p w:rsidR="009B1FD3" w:rsidRPr="009B1FD3" w:rsidRDefault="009B1FD3" w:rsidP="0084235F">
            <w:pPr>
              <w:pStyle w:val="AHPRASubheading"/>
              <w:jc w:val="both"/>
              <w:rPr>
                <w:b w:val="0"/>
                <w:color w:val="auto"/>
              </w:rPr>
            </w:pPr>
            <w:r w:rsidRPr="009B1FD3">
              <w:rPr>
                <w:b w:val="0"/>
                <w:color w:val="auto"/>
              </w:rPr>
              <w:lastRenderedPageBreak/>
              <w:t>Accommodation</w:t>
            </w:r>
          </w:p>
        </w:tc>
        <w:tc>
          <w:tcPr>
            <w:tcW w:w="4811" w:type="dxa"/>
          </w:tcPr>
          <w:p w:rsidR="009B1FD3" w:rsidRPr="009B1FD3" w:rsidRDefault="00AD6A34" w:rsidP="007F22C5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If you are travelling a long distance and AHPRA agrees</w:t>
            </w:r>
            <w:r w:rsidR="0077654E">
              <w:rPr>
                <w:b w:val="0"/>
                <w:color w:val="auto"/>
              </w:rPr>
              <w:t xml:space="preserve"> before you travel that</w:t>
            </w:r>
            <w:r>
              <w:rPr>
                <w:b w:val="0"/>
                <w:color w:val="auto"/>
              </w:rPr>
              <w:t xml:space="preserve"> it is appropriate,</w:t>
            </w:r>
            <w:r w:rsidR="009B1FD3">
              <w:rPr>
                <w:b w:val="0"/>
                <w:color w:val="auto"/>
              </w:rPr>
              <w:t xml:space="preserve"> AHPRA will arrange accommodation for you close to the Tribunal.  AHPRA will pay the hotel directly.</w:t>
            </w:r>
          </w:p>
        </w:tc>
      </w:tr>
      <w:tr w:rsidR="009B1FD3" w:rsidRPr="009B1FD3" w:rsidTr="009B1FD3">
        <w:tc>
          <w:tcPr>
            <w:tcW w:w="4811" w:type="dxa"/>
          </w:tcPr>
          <w:p w:rsidR="009B1FD3" w:rsidRPr="009B1FD3" w:rsidRDefault="009B1FD3" w:rsidP="0084235F">
            <w:pPr>
              <w:pStyle w:val="AHPRASubheading"/>
              <w:jc w:val="both"/>
              <w:rPr>
                <w:b w:val="0"/>
                <w:color w:val="auto"/>
              </w:rPr>
            </w:pPr>
            <w:r w:rsidRPr="009B1FD3">
              <w:rPr>
                <w:b w:val="0"/>
                <w:color w:val="auto"/>
              </w:rPr>
              <w:t>Meals</w:t>
            </w:r>
            <w:r>
              <w:rPr>
                <w:b w:val="0"/>
                <w:color w:val="auto"/>
              </w:rPr>
              <w:t xml:space="preserve"> </w:t>
            </w:r>
            <w:r w:rsidR="00F57B2C">
              <w:rPr>
                <w:b w:val="0"/>
                <w:color w:val="auto"/>
              </w:rPr>
              <w:t>(no alcohol)</w:t>
            </w:r>
          </w:p>
        </w:tc>
        <w:tc>
          <w:tcPr>
            <w:tcW w:w="4811" w:type="dxa"/>
          </w:tcPr>
          <w:p w:rsidR="009B1FD3" w:rsidRDefault="009B1FD3" w:rsidP="00233847">
            <w:pPr>
              <w:pStyle w:val="AHPRASubheading"/>
              <w:spacing w:after="120"/>
              <w:jc w:val="both"/>
              <w:rPr>
                <w:b w:val="0"/>
                <w:color w:val="auto"/>
              </w:rPr>
            </w:pPr>
            <w:r w:rsidRPr="009B1FD3">
              <w:rPr>
                <w:b w:val="0"/>
                <w:color w:val="auto"/>
              </w:rPr>
              <w:t xml:space="preserve">Witnesses who have to stay overnight </w:t>
            </w:r>
            <w:r w:rsidR="00C26126">
              <w:rPr>
                <w:b w:val="0"/>
                <w:color w:val="auto"/>
              </w:rPr>
              <w:t>or travel over 50kms</w:t>
            </w:r>
            <w:r w:rsidR="0077654E">
              <w:rPr>
                <w:b w:val="0"/>
                <w:color w:val="auto"/>
              </w:rPr>
              <w:t xml:space="preserve"> in</w:t>
            </w:r>
            <w:r w:rsidR="00C26126">
              <w:rPr>
                <w:b w:val="0"/>
                <w:color w:val="auto"/>
              </w:rPr>
              <w:t xml:space="preserve"> </w:t>
            </w:r>
            <w:r w:rsidR="00B8068A">
              <w:rPr>
                <w:b w:val="0"/>
                <w:color w:val="auto"/>
              </w:rPr>
              <w:t xml:space="preserve">total </w:t>
            </w:r>
            <w:r w:rsidRPr="009B1FD3">
              <w:rPr>
                <w:b w:val="0"/>
                <w:color w:val="auto"/>
              </w:rPr>
              <w:t>are entitled to be reimbursed for the cost of meals</w:t>
            </w:r>
            <w:r>
              <w:rPr>
                <w:b w:val="0"/>
                <w:color w:val="auto"/>
              </w:rPr>
              <w:t xml:space="preserve"> up</w:t>
            </w:r>
            <w:r w:rsidRPr="009B1FD3">
              <w:rPr>
                <w:b w:val="0"/>
                <w:color w:val="auto"/>
              </w:rPr>
              <w:t xml:space="preserve"> to</w:t>
            </w:r>
            <w:r>
              <w:rPr>
                <w:b w:val="0"/>
                <w:color w:val="auto"/>
              </w:rPr>
              <w:t xml:space="preserve"> a maximum</w:t>
            </w:r>
            <w:r w:rsidRPr="009B1FD3">
              <w:rPr>
                <w:b w:val="0"/>
                <w:color w:val="auto"/>
              </w:rPr>
              <w:t xml:space="preserve"> amount per person</w:t>
            </w:r>
            <w:r w:rsidR="00A96367">
              <w:rPr>
                <w:b w:val="0"/>
                <w:color w:val="auto"/>
              </w:rPr>
              <w:t xml:space="preserve"> as follows:</w:t>
            </w:r>
          </w:p>
          <w:p w:rsidR="00A96367" w:rsidRPr="0077654E" w:rsidRDefault="00A96367" w:rsidP="00233847">
            <w:pPr>
              <w:pStyle w:val="AHPRASubheading"/>
              <w:spacing w:after="12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Breakfast (if not supplied with room rate</w:t>
            </w:r>
            <w:r w:rsidRPr="0077654E">
              <w:rPr>
                <w:b w:val="0"/>
                <w:color w:val="auto"/>
              </w:rPr>
              <w:t>): $</w:t>
            </w:r>
            <w:r w:rsidR="00C26126" w:rsidRPr="0077654E">
              <w:rPr>
                <w:b w:val="0"/>
                <w:color w:val="auto"/>
              </w:rPr>
              <w:t>21.20</w:t>
            </w:r>
          </w:p>
          <w:p w:rsidR="00A96367" w:rsidRPr="0077654E" w:rsidRDefault="00A96367" w:rsidP="00233847">
            <w:pPr>
              <w:pStyle w:val="AHPRASubheading"/>
              <w:spacing w:after="120"/>
              <w:jc w:val="both"/>
              <w:rPr>
                <w:b w:val="0"/>
                <w:color w:val="auto"/>
              </w:rPr>
            </w:pPr>
            <w:r w:rsidRPr="0077654E">
              <w:rPr>
                <w:b w:val="0"/>
                <w:color w:val="auto"/>
              </w:rPr>
              <w:t>Lunch: $</w:t>
            </w:r>
            <w:r w:rsidR="00C26126" w:rsidRPr="0077654E">
              <w:rPr>
                <w:b w:val="0"/>
                <w:color w:val="auto"/>
              </w:rPr>
              <w:t>33.20</w:t>
            </w:r>
          </w:p>
          <w:p w:rsidR="00A96367" w:rsidRPr="009B1FD3" w:rsidRDefault="00A96367" w:rsidP="00233847">
            <w:pPr>
              <w:pStyle w:val="AHPRASubheading"/>
              <w:spacing w:after="120"/>
              <w:jc w:val="both"/>
              <w:rPr>
                <w:b w:val="0"/>
                <w:color w:val="auto"/>
              </w:rPr>
            </w:pPr>
            <w:r w:rsidRPr="0077654E">
              <w:rPr>
                <w:b w:val="0"/>
                <w:color w:val="auto"/>
              </w:rPr>
              <w:t>Dinner: $</w:t>
            </w:r>
            <w:r w:rsidR="00C26126" w:rsidRPr="0077654E">
              <w:rPr>
                <w:b w:val="0"/>
                <w:color w:val="auto"/>
              </w:rPr>
              <w:t>52.</w:t>
            </w:r>
            <w:r w:rsidR="007832DA" w:rsidRPr="0077654E">
              <w:rPr>
                <w:b w:val="0"/>
                <w:color w:val="auto"/>
              </w:rPr>
              <w:t>2</w:t>
            </w:r>
            <w:r w:rsidR="00C26126" w:rsidRPr="0077654E">
              <w:rPr>
                <w:b w:val="0"/>
                <w:color w:val="auto"/>
              </w:rPr>
              <w:t>0</w:t>
            </w:r>
          </w:p>
        </w:tc>
      </w:tr>
      <w:tr w:rsidR="009C3544" w:rsidRPr="009B1FD3" w:rsidTr="009B1FD3">
        <w:tc>
          <w:tcPr>
            <w:tcW w:w="4811" w:type="dxa"/>
          </w:tcPr>
          <w:p w:rsidR="009C3544" w:rsidRPr="009C3544" w:rsidRDefault="009C3544" w:rsidP="0084235F">
            <w:pPr>
              <w:pStyle w:val="AHPRASubheading"/>
              <w:jc w:val="both"/>
              <w:rPr>
                <w:b w:val="0"/>
                <w:color w:val="auto"/>
              </w:rPr>
            </w:pPr>
            <w:r w:rsidRPr="009C3544">
              <w:rPr>
                <w:b w:val="0"/>
                <w:color w:val="auto"/>
              </w:rPr>
              <w:t>Incidental expenses</w:t>
            </w:r>
          </w:p>
        </w:tc>
        <w:tc>
          <w:tcPr>
            <w:tcW w:w="4811" w:type="dxa"/>
          </w:tcPr>
          <w:p w:rsidR="009C3544" w:rsidRPr="009C3544" w:rsidRDefault="00C26126" w:rsidP="00B929A1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AHPRA will meet </w:t>
            </w:r>
            <w:r w:rsidR="00630AB8">
              <w:rPr>
                <w:b w:val="0"/>
                <w:color w:val="auto"/>
              </w:rPr>
              <w:t xml:space="preserve">reasonable out of pocket expenses directly related to your giving evidence </w:t>
            </w:r>
            <w:r>
              <w:rPr>
                <w:b w:val="0"/>
                <w:color w:val="auto"/>
              </w:rPr>
              <w:t>up to $21.70 per day.</w:t>
            </w:r>
            <w:r w:rsidR="00442922">
              <w:rPr>
                <w:b w:val="0"/>
                <w:color w:val="auto"/>
              </w:rPr>
              <w:t xml:space="preserve">  For example, </w:t>
            </w:r>
            <w:r w:rsidR="00B929A1">
              <w:rPr>
                <w:b w:val="0"/>
                <w:color w:val="auto"/>
              </w:rPr>
              <w:t>buying newspaper or coffee while waiting to give evidence</w:t>
            </w:r>
            <w:r w:rsidR="00442922">
              <w:rPr>
                <w:b w:val="0"/>
                <w:color w:val="auto"/>
              </w:rPr>
              <w:t xml:space="preserve">.  </w:t>
            </w:r>
          </w:p>
        </w:tc>
      </w:tr>
      <w:tr w:rsidR="009B1FD3" w:rsidRPr="009B1FD3" w:rsidTr="009B1FD3">
        <w:tc>
          <w:tcPr>
            <w:tcW w:w="4811" w:type="dxa"/>
          </w:tcPr>
          <w:p w:rsidR="009B1FD3" w:rsidRPr="009B1FD3" w:rsidRDefault="00C9596D" w:rsidP="0077654E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Witness attendance allowance</w:t>
            </w:r>
            <w:r w:rsidR="00517F30">
              <w:rPr>
                <w:b w:val="0"/>
                <w:color w:val="auto"/>
              </w:rPr>
              <w:t xml:space="preserve"> </w:t>
            </w:r>
            <w:r w:rsidR="0077654E">
              <w:rPr>
                <w:b w:val="0"/>
                <w:color w:val="auto"/>
              </w:rPr>
              <w:t>and</w:t>
            </w:r>
            <w:r w:rsidR="00517F30">
              <w:rPr>
                <w:b w:val="0"/>
                <w:color w:val="auto"/>
              </w:rPr>
              <w:t xml:space="preserve"> loss of wages</w:t>
            </w:r>
          </w:p>
        </w:tc>
        <w:tc>
          <w:tcPr>
            <w:tcW w:w="4811" w:type="dxa"/>
          </w:tcPr>
          <w:p w:rsidR="009B1FD3" w:rsidRDefault="0077654E" w:rsidP="00B818FB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="00F1301E">
              <w:rPr>
                <w:b w:val="0"/>
                <w:color w:val="auto"/>
              </w:rPr>
              <w:t>lease contact AHPRA to determine what (if any) witness attendance allowance</w:t>
            </w:r>
            <w:r>
              <w:rPr>
                <w:b w:val="0"/>
                <w:color w:val="auto"/>
              </w:rPr>
              <w:t xml:space="preserve"> and loss of wages</w:t>
            </w:r>
            <w:r w:rsidR="00F1301E">
              <w:rPr>
                <w:b w:val="0"/>
                <w:color w:val="auto"/>
              </w:rPr>
              <w:t xml:space="preserve"> you may be entitled to.</w:t>
            </w:r>
            <w:r w:rsidR="0084235F">
              <w:rPr>
                <w:b w:val="0"/>
                <w:color w:val="auto"/>
              </w:rPr>
              <w:t xml:space="preserve"> </w:t>
            </w:r>
          </w:p>
          <w:p w:rsidR="00C9596D" w:rsidRPr="009B1FD3" w:rsidRDefault="00C9596D" w:rsidP="00B818FB">
            <w:pPr>
              <w:pStyle w:val="AHPRASubheading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Expert witnesses are to liaise with AHPRA.</w:t>
            </w:r>
          </w:p>
        </w:tc>
      </w:tr>
    </w:tbl>
    <w:p w:rsidR="00D26D2E" w:rsidRPr="00AA3E41" w:rsidRDefault="00D26D2E" w:rsidP="00233847">
      <w:pPr>
        <w:pStyle w:val="AHPRASubheading"/>
        <w:spacing w:after="120"/>
        <w:jc w:val="both"/>
      </w:pPr>
      <w:r w:rsidRPr="00B40D57">
        <w:t>What if I need special assistance to attend the hearing?</w:t>
      </w:r>
    </w:p>
    <w:p w:rsidR="00A25802" w:rsidRPr="00D26D2E" w:rsidRDefault="00D26D2E" w:rsidP="00D26D2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contact AHPRA </w:t>
      </w:r>
      <w:r w:rsidRPr="00B40D57">
        <w:rPr>
          <w:rFonts w:cs="Arial"/>
          <w:sz w:val="20"/>
          <w:szCs w:val="20"/>
        </w:rPr>
        <w:t xml:space="preserve">to discuss what special assistance arrangements </w:t>
      </w:r>
      <w:r>
        <w:rPr>
          <w:rFonts w:cs="Arial"/>
          <w:sz w:val="20"/>
          <w:szCs w:val="20"/>
        </w:rPr>
        <w:t xml:space="preserve">we </w:t>
      </w:r>
      <w:r w:rsidRPr="00B40D57">
        <w:rPr>
          <w:rFonts w:cs="Arial"/>
          <w:sz w:val="20"/>
          <w:szCs w:val="20"/>
        </w:rPr>
        <w:t>can assist you with.</w:t>
      </w:r>
      <w:r w:rsidR="00B929A1">
        <w:rPr>
          <w:rFonts w:cs="Arial"/>
          <w:sz w:val="20"/>
          <w:szCs w:val="20"/>
        </w:rPr>
        <w:t xml:space="preserve">  If AHPRA agrees that you should have a person attend with you to provide support, additional expense will be paid.</w:t>
      </w:r>
    </w:p>
    <w:p w:rsidR="009B1FD3" w:rsidRPr="009B1FD3" w:rsidRDefault="00104BC8" w:rsidP="00233847">
      <w:pPr>
        <w:pStyle w:val="AHPRASubheading"/>
        <w:spacing w:after="120"/>
        <w:jc w:val="both"/>
      </w:pPr>
      <w:r w:rsidRPr="00104BC8">
        <w:t>What expenses can</w:t>
      </w:r>
      <w:r>
        <w:t>not</w:t>
      </w:r>
      <w:r w:rsidRPr="00104BC8">
        <w:t xml:space="preserve"> be claimed?</w:t>
      </w:r>
    </w:p>
    <w:p w:rsidR="00F57B2C" w:rsidRDefault="00A96367" w:rsidP="009B1FD3">
      <w:pPr>
        <w:jc w:val="both"/>
        <w:rPr>
          <w:rFonts w:cs="Arial"/>
          <w:sz w:val="20"/>
          <w:szCs w:val="20"/>
        </w:rPr>
      </w:pPr>
      <w:r w:rsidRPr="00A96367">
        <w:rPr>
          <w:rFonts w:cs="Arial"/>
          <w:sz w:val="20"/>
          <w:szCs w:val="20"/>
        </w:rPr>
        <w:t>AHPRA will not reimburse you for the purchase of alcohol</w:t>
      </w:r>
      <w:r>
        <w:rPr>
          <w:rFonts w:cs="Arial"/>
          <w:sz w:val="20"/>
          <w:szCs w:val="20"/>
        </w:rPr>
        <w:t xml:space="preserve"> or any </w:t>
      </w:r>
      <w:r w:rsidR="009B1FD3" w:rsidRPr="009B1FD3">
        <w:rPr>
          <w:rFonts w:cs="Arial"/>
          <w:sz w:val="20"/>
          <w:szCs w:val="20"/>
        </w:rPr>
        <w:t>additional expenses incurred by you</w:t>
      </w:r>
      <w:r w:rsidR="00F57B2C">
        <w:rPr>
          <w:rFonts w:cs="Arial"/>
          <w:sz w:val="20"/>
          <w:szCs w:val="20"/>
        </w:rPr>
        <w:t xml:space="preserve"> </w:t>
      </w:r>
      <w:r w:rsidR="009B1FD3" w:rsidRPr="009B1FD3">
        <w:rPr>
          <w:rFonts w:cs="Arial"/>
          <w:sz w:val="20"/>
          <w:szCs w:val="20"/>
        </w:rPr>
        <w:t>while you a</w:t>
      </w:r>
      <w:r w:rsidR="00F57B2C">
        <w:rPr>
          <w:rFonts w:cs="Arial"/>
          <w:sz w:val="20"/>
          <w:szCs w:val="20"/>
        </w:rPr>
        <w:t>re staying in accommodation</w:t>
      </w:r>
      <w:r w:rsidR="00F57B2C" w:rsidRPr="009B1FD3">
        <w:rPr>
          <w:rFonts w:cs="Arial"/>
          <w:sz w:val="20"/>
          <w:szCs w:val="20"/>
        </w:rPr>
        <w:t xml:space="preserve"> (e</w:t>
      </w:r>
      <w:r w:rsidR="00F57B2C">
        <w:rPr>
          <w:rFonts w:cs="Arial"/>
          <w:sz w:val="20"/>
          <w:szCs w:val="20"/>
        </w:rPr>
        <w:t>.</w:t>
      </w:r>
      <w:r w:rsidR="00F57B2C" w:rsidRPr="009B1FD3">
        <w:rPr>
          <w:rFonts w:cs="Arial"/>
          <w:sz w:val="20"/>
          <w:szCs w:val="20"/>
        </w:rPr>
        <w:t>g</w:t>
      </w:r>
      <w:r w:rsidR="00F57B2C">
        <w:rPr>
          <w:rFonts w:cs="Arial"/>
          <w:sz w:val="20"/>
          <w:szCs w:val="20"/>
        </w:rPr>
        <w:t>.</w:t>
      </w:r>
      <w:r w:rsidR="00F57B2C" w:rsidRPr="009B1FD3">
        <w:rPr>
          <w:rFonts w:cs="Arial"/>
          <w:sz w:val="20"/>
          <w:szCs w:val="20"/>
        </w:rPr>
        <w:t xml:space="preserve"> ordering food from room service</w:t>
      </w:r>
      <w:r w:rsidR="002B5C1E">
        <w:rPr>
          <w:rFonts w:cs="Arial"/>
          <w:sz w:val="20"/>
          <w:szCs w:val="20"/>
        </w:rPr>
        <w:t xml:space="preserve"> unless it is part of your reasonable expenses for a meal as above</w:t>
      </w:r>
      <w:r w:rsidR="00F57B2C" w:rsidRPr="009B1FD3">
        <w:rPr>
          <w:rFonts w:cs="Arial"/>
          <w:sz w:val="20"/>
          <w:szCs w:val="20"/>
        </w:rPr>
        <w:t>, consuming items from the mini-bar, telephone calls, pay per view movies</w:t>
      </w:r>
      <w:r w:rsidR="008B7FF3">
        <w:rPr>
          <w:rFonts w:cs="Arial"/>
          <w:sz w:val="20"/>
          <w:szCs w:val="20"/>
        </w:rPr>
        <w:t>, valet parking</w:t>
      </w:r>
      <w:r w:rsidR="00F57B2C" w:rsidRPr="009B1FD3">
        <w:rPr>
          <w:rFonts w:cs="Arial"/>
          <w:sz w:val="20"/>
          <w:szCs w:val="20"/>
        </w:rPr>
        <w:t xml:space="preserve"> etc)</w:t>
      </w:r>
      <w:r w:rsidR="00F57B2C">
        <w:rPr>
          <w:rFonts w:cs="Arial"/>
          <w:sz w:val="20"/>
          <w:szCs w:val="20"/>
        </w:rPr>
        <w:t>.</w:t>
      </w:r>
    </w:p>
    <w:p w:rsidR="00233847" w:rsidRDefault="00104BC8" w:rsidP="00A31A9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 care expenses cannot be claimed.</w:t>
      </w:r>
      <w:r w:rsidR="00233847">
        <w:rPr>
          <w:rFonts w:cs="Arial"/>
          <w:sz w:val="20"/>
          <w:szCs w:val="20"/>
        </w:rPr>
        <w:t xml:space="preserve">  </w:t>
      </w:r>
    </w:p>
    <w:p w:rsidR="008376F7" w:rsidRPr="00A31A9B" w:rsidRDefault="008376F7" w:rsidP="00A31A9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Penalty inf</w:t>
      </w:r>
      <w:r w:rsidR="00C71938">
        <w:rPr>
          <w:rFonts w:cs="Arial"/>
          <w:sz w:val="20"/>
          <w:szCs w:val="20"/>
        </w:rPr>
        <w:t xml:space="preserve">ringements incurred due to </w:t>
      </w:r>
      <w:r>
        <w:rPr>
          <w:rFonts w:cs="Arial"/>
          <w:sz w:val="20"/>
          <w:szCs w:val="20"/>
        </w:rPr>
        <w:t xml:space="preserve">parking </w:t>
      </w:r>
      <w:r w:rsidR="00AA3E41">
        <w:rPr>
          <w:rFonts w:cs="Arial"/>
          <w:sz w:val="20"/>
          <w:szCs w:val="20"/>
        </w:rPr>
        <w:t xml:space="preserve">or </w:t>
      </w:r>
      <w:r w:rsidR="00F6471D">
        <w:rPr>
          <w:rFonts w:cs="Arial"/>
          <w:sz w:val="20"/>
          <w:szCs w:val="20"/>
        </w:rPr>
        <w:t xml:space="preserve">traffic offences </w:t>
      </w:r>
      <w:r>
        <w:rPr>
          <w:rFonts w:cs="Arial"/>
          <w:sz w:val="20"/>
          <w:szCs w:val="20"/>
        </w:rPr>
        <w:t>cannot be claimed.</w:t>
      </w:r>
    </w:p>
    <w:p w:rsidR="007A03ED" w:rsidRPr="009D3136" w:rsidRDefault="007A03ED" w:rsidP="00233847">
      <w:pPr>
        <w:pStyle w:val="AHPRASubheading"/>
        <w:spacing w:after="120"/>
        <w:jc w:val="both"/>
      </w:pPr>
      <w:r>
        <w:t>How do I claim?</w:t>
      </w:r>
    </w:p>
    <w:p w:rsidR="00104BC8" w:rsidRDefault="00104BC8" w:rsidP="007A03E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 </w:t>
      </w:r>
      <w:r w:rsidR="00055289">
        <w:rPr>
          <w:rFonts w:cs="Arial"/>
          <w:sz w:val="20"/>
          <w:szCs w:val="20"/>
        </w:rPr>
        <w:t xml:space="preserve">must </w:t>
      </w:r>
      <w:r>
        <w:rPr>
          <w:rFonts w:cs="Arial"/>
          <w:sz w:val="20"/>
          <w:szCs w:val="20"/>
        </w:rPr>
        <w:t>claim your expense</w:t>
      </w:r>
      <w:r w:rsidR="00B40D57">
        <w:rPr>
          <w:rFonts w:cs="Arial"/>
          <w:sz w:val="20"/>
          <w:szCs w:val="20"/>
        </w:rPr>
        <w:t>s within 60 days after the date</w:t>
      </w:r>
      <w:r>
        <w:rPr>
          <w:rFonts w:cs="Arial"/>
          <w:sz w:val="20"/>
          <w:szCs w:val="20"/>
        </w:rPr>
        <w:t xml:space="preserve"> of the hearing by </w:t>
      </w:r>
      <w:r w:rsidR="007F22C5">
        <w:rPr>
          <w:rFonts w:cs="Arial"/>
          <w:sz w:val="20"/>
          <w:szCs w:val="20"/>
        </w:rPr>
        <w:t>writing to AHPRA</w:t>
      </w:r>
      <w:r w:rsidR="00F735FF">
        <w:rPr>
          <w:rFonts w:cs="Arial"/>
          <w:sz w:val="20"/>
          <w:szCs w:val="20"/>
        </w:rPr>
        <w:t>, enclosing</w:t>
      </w:r>
      <w:r>
        <w:rPr>
          <w:rFonts w:cs="Arial"/>
          <w:sz w:val="20"/>
          <w:szCs w:val="20"/>
        </w:rPr>
        <w:t xml:space="preserve"> relevant receipts</w:t>
      </w:r>
      <w:r w:rsidR="00860E35">
        <w:rPr>
          <w:rFonts w:cs="Arial"/>
          <w:sz w:val="20"/>
          <w:szCs w:val="20"/>
        </w:rPr>
        <w:t xml:space="preserve"> or other evidence of expenses incurred</w:t>
      </w:r>
      <w:r>
        <w:rPr>
          <w:rFonts w:cs="Arial"/>
          <w:sz w:val="20"/>
          <w:szCs w:val="20"/>
        </w:rPr>
        <w:t xml:space="preserve"> to AHPRA at:</w:t>
      </w:r>
    </w:p>
    <w:p w:rsidR="007A03ED" w:rsidRPr="00B818FB" w:rsidRDefault="00B818FB" w:rsidP="007A03ED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AHPRA</w:t>
      </w:r>
      <w:r w:rsidR="00F735FF">
        <w:rPr>
          <w:rFonts w:cs="Arial"/>
          <w:b/>
          <w:sz w:val="20"/>
          <w:szCs w:val="20"/>
        </w:rPr>
        <w:t xml:space="preserve"> Legal Services</w:t>
      </w:r>
      <w:r>
        <w:rPr>
          <w:rFonts w:cs="Arial"/>
          <w:b/>
          <w:sz w:val="20"/>
          <w:szCs w:val="20"/>
        </w:rPr>
        <w:t xml:space="preserve">, </w:t>
      </w:r>
      <w:r w:rsidRPr="00B818FB">
        <w:rPr>
          <w:rFonts w:cs="Arial"/>
          <w:b/>
          <w:sz w:val="20"/>
          <w:szCs w:val="20"/>
        </w:rPr>
        <w:t>111 Bourke St, Melbourne, VIC 3000</w:t>
      </w:r>
    </w:p>
    <w:p w:rsidR="00860E35" w:rsidRDefault="00860E35" w:rsidP="007A03E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statutory declaration that an expense was incurred may be accepted if</w:t>
      </w:r>
      <w:r w:rsidR="00F735FF">
        <w:rPr>
          <w:rFonts w:cs="Arial"/>
          <w:sz w:val="20"/>
          <w:szCs w:val="20"/>
        </w:rPr>
        <w:t xml:space="preserve"> a receipt is lost or misplaced</w:t>
      </w:r>
      <w:r>
        <w:rPr>
          <w:rFonts w:cs="Arial"/>
          <w:sz w:val="20"/>
          <w:szCs w:val="20"/>
        </w:rPr>
        <w:t>.</w:t>
      </w:r>
    </w:p>
    <w:p w:rsidR="00B40D57" w:rsidRDefault="00860E35" w:rsidP="007A03E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Upon request, AHPRA may provide an advance for </w:t>
      </w:r>
      <w:r w:rsidR="007832DA">
        <w:rPr>
          <w:rFonts w:cs="Arial"/>
          <w:sz w:val="20"/>
          <w:szCs w:val="20"/>
        </w:rPr>
        <w:t xml:space="preserve">anticipated </w:t>
      </w:r>
      <w:r>
        <w:rPr>
          <w:rFonts w:cs="Arial"/>
          <w:sz w:val="20"/>
          <w:szCs w:val="20"/>
        </w:rPr>
        <w:t xml:space="preserve">witness expenses.  Please contact AHPRA as soon as possible after receiving the summons if you require financial assistance prior to incurring witness expenses.  </w:t>
      </w:r>
    </w:p>
    <w:p w:rsidR="00B40D57" w:rsidRDefault="00B40D57" w:rsidP="00233847">
      <w:pPr>
        <w:pStyle w:val="AHPRASubheading"/>
        <w:spacing w:after="120"/>
        <w:jc w:val="both"/>
      </w:pPr>
      <w:r>
        <w:t>When will witness expenses not be paid?</w:t>
      </w:r>
    </w:p>
    <w:p w:rsidR="00F008AA" w:rsidRPr="00F008AA" w:rsidRDefault="00B40D57" w:rsidP="00F008AA">
      <w:pPr>
        <w:jc w:val="both"/>
        <w:rPr>
          <w:rFonts w:cs="Arial"/>
          <w:sz w:val="20"/>
          <w:szCs w:val="20"/>
        </w:rPr>
      </w:pPr>
      <w:r w:rsidRPr="00B40D57">
        <w:rPr>
          <w:rFonts w:cs="Arial"/>
          <w:sz w:val="20"/>
          <w:szCs w:val="20"/>
        </w:rPr>
        <w:t xml:space="preserve">A witness who attends </w:t>
      </w:r>
      <w:r>
        <w:rPr>
          <w:rFonts w:cs="Arial"/>
          <w:sz w:val="20"/>
          <w:szCs w:val="20"/>
        </w:rPr>
        <w:t xml:space="preserve">a Tribunal hearing </w:t>
      </w:r>
      <w:r w:rsidRPr="00B40D57">
        <w:rPr>
          <w:rFonts w:cs="Arial"/>
          <w:sz w:val="20"/>
          <w:szCs w:val="20"/>
        </w:rPr>
        <w:t>but refuses to give evidence is not entitled to be paid.</w:t>
      </w:r>
    </w:p>
    <w:p w:rsidR="009D3136" w:rsidRPr="009D3136" w:rsidRDefault="009D3136" w:rsidP="00233847">
      <w:pPr>
        <w:pStyle w:val="AHPRASubheading"/>
        <w:spacing w:after="120"/>
        <w:jc w:val="both"/>
      </w:pPr>
      <w:r>
        <w:lastRenderedPageBreak/>
        <w:t>Information and assistance</w:t>
      </w:r>
    </w:p>
    <w:p w:rsidR="00E77E23" w:rsidRPr="00B929A1" w:rsidRDefault="0077654E" w:rsidP="00B818FB">
      <w:pPr>
        <w:jc w:val="both"/>
        <w:rPr>
          <w:rFonts w:cs="Arial"/>
          <w:sz w:val="20"/>
          <w:szCs w:val="20"/>
        </w:rPr>
      </w:pPr>
      <w:r w:rsidRPr="00B929A1">
        <w:rPr>
          <w:rFonts w:cs="Arial"/>
          <w:sz w:val="20"/>
          <w:szCs w:val="20"/>
        </w:rPr>
        <w:t>For further information, please contact the lawyer acting for the Board or A</w:t>
      </w:r>
      <w:r w:rsidR="00B929A1">
        <w:rPr>
          <w:rFonts w:cs="Arial"/>
          <w:sz w:val="20"/>
          <w:szCs w:val="20"/>
        </w:rPr>
        <w:t>HPRA</w:t>
      </w:r>
      <w:r w:rsidRPr="00B929A1">
        <w:rPr>
          <w:rFonts w:cs="Arial"/>
          <w:sz w:val="20"/>
          <w:szCs w:val="20"/>
        </w:rPr>
        <w:t xml:space="preserve"> who arranged your attendance.  Alternatively, contact </w:t>
      </w:r>
      <w:r w:rsidR="009D3136" w:rsidRPr="00B929A1">
        <w:rPr>
          <w:rFonts w:cs="Arial"/>
          <w:sz w:val="20"/>
          <w:szCs w:val="20"/>
        </w:rPr>
        <w:t>AHPRA</w:t>
      </w:r>
      <w:r w:rsidRPr="00B929A1">
        <w:rPr>
          <w:rFonts w:cs="Arial"/>
          <w:sz w:val="20"/>
          <w:szCs w:val="20"/>
        </w:rPr>
        <w:t xml:space="preserve"> </w:t>
      </w:r>
      <w:r w:rsidR="00667655">
        <w:rPr>
          <w:rFonts w:cs="Arial"/>
          <w:sz w:val="20"/>
          <w:szCs w:val="20"/>
        </w:rPr>
        <w:t>legal Practice Manager on 08 7071 5656.</w:t>
      </w:r>
      <w:r w:rsidR="00B818FB" w:rsidRPr="00B929A1">
        <w:rPr>
          <w:rFonts w:cs="Arial"/>
          <w:sz w:val="20"/>
          <w:szCs w:val="20"/>
        </w:rPr>
        <w:tab/>
      </w:r>
    </w:p>
    <w:sectPr w:rsidR="00E77E23" w:rsidRPr="00B929A1" w:rsidSect="004B43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CB" w:rsidRDefault="009A29CB" w:rsidP="00FC2881">
      <w:pPr>
        <w:spacing w:after="0"/>
      </w:pPr>
      <w:r>
        <w:separator/>
      </w:r>
    </w:p>
    <w:p w:rsidR="009A29CB" w:rsidRDefault="009A29CB"/>
  </w:endnote>
  <w:endnote w:type="continuationSeparator" w:id="0">
    <w:p w:rsidR="009A29CB" w:rsidRDefault="009A29CB" w:rsidP="00FC2881">
      <w:pPr>
        <w:spacing w:after="0"/>
      </w:pPr>
      <w:r>
        <w:continuationSeparator/>
      </w:r>
    </w:p>
    <w:p w:rsidR="009A29CB" w:rsidRDefault="009A2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4E" w:rsidRDefault="0077654E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7654E" w:rsidRDefault="0077654E" w:rsidP="00FC2881">
    <w:pPr>
      <w:pStyle w:val="AHPRAfootnote"/>
      <w:ind w:right="360"/>
    </w:pPr>
  </w:p>
  <w:p w:rsidR="0077654E" w:rsidRDefault="007765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4E" w:rsidRDefault="0077654E" w:rsidP="001506FE">
    <w:pPr>
      <w:pStyle w:val="AHPRAfooter"/>
      <w:rPr>
        <w:szCs w:val="16"/>
      </w:rPr>
    </w:pPr>
    <w:r>
      <w:rPr>
        <w:szCs w:val="16"/>
      </w:rPr>
      <w:t xml:space="preserve">AHPRA </w:t>
    </w:r>
    <w:r w:rsidRPr="00B818FB">
      <w:rPr>
        <w:szCs w:val="16"/>
      </w:rPr>
      <w:t>Witness expenses information sheet – Tribunal proceedings</w:t>
    </w:r>
    <w:r>
      <w:rPr>
        <w:szCs w:val="16"/>
      </w:rPr>
      <w:t xml:space="preserve"> </w:t>
    </w:r>
    <w:r w:rsidRPr="00E77E23">
      <w:rPr>
        <w:szCs w:val="16"/>
      </w:rPr>
      <w:t>/</w:t>
    </w:r>
    <w:r>
      <w:rPr>
        <w:szCs w:val="16"/>
      </w:rPr>
      <w:t xml:space="preserve"> March 2018</w:t>
    </w:r>
  </w:p>
  <w:p w:rsidR="0077654E" w:rsidRPr="000E7E28" w:rsidRDefault="009A29CB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77654E" w:rsidRPr="000E7E28">
          <w:t xml:space="preserve">Page </w:t>
        </w:r>
        <w:r w:rsidR="00667655">
          <w:rPr>
            <w:noProof/>
          </w:rPr>
          <w:fldChar w:fldCharType="begin"/>
        </w:r>
        <w:r w:rsidR="00667655">
          <w:rPr>
            <w:noProof/>
          </w:rPr>
          <w:instrText xml:space="preserve"> PAGE </w:instrText>
        </w:r>
        <w:r w:rsidR="00667655">
          <w:rPr>
            <w:noProof/>
          </w:rPr>
          <w:fldChar w:fldCharType="separate"/>
        </w:r>
        <w:r w:rsidR="00BC4E8E">
          <w:rPr>
            <w:noProof/>
          </w:rPr>
          <w:t>2</w:t>
        </w:r>
        <w:r w:rsidR="00667655">
          <w:rPr>
            <w:noProof/>
          </w:rPr>
          <w:fldChar w:fldCharType="end"/>
        </w:r>
        <w:r w:rsidR="0077654E" w:rsidRPr="000E7E28">
          <w:t xml:space="preserve"> of </w:t>
        </w:r>
        <w:r w:rsidR="00667655">
          <w:rPr>
            <w:noProof/>
          </w:rPr>
          <w:fldChar w:fldCharType="begin"/>
        </w:r>
        <w:r w:rsidR="00667655">
          <w:rPr>
            <w:noProof/>
          </w:rPr>
          <w:instrText xml:space="preserve"> NUMPAGES  </w:instrText>
        </w:r>
        <w:r w:rsidR="00667655">
          <w:rPr>
            <w:noProof/>
          </w:rPr>
          <w:fldChar w:fldCharType="separate"/>
        </w:r>
        <w:r w:rsidR="00BC4E8E">
          <w:rPr>
            <w:noProof/>
          </w:rPr>
          <w:t>3</w:t>
        </w:r>
        <w:r w:rsidR="0066765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4E" w:rsidRPr="00E77E23" w:rsidRDefault="0077654E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77654E" w:rsidRDefault="0077654E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CB" w:rsidRDefault="009A29CB" w:rsidP="000E7E28">
      <w:pPr>
        <w:spacing w:after="0"/>
      </w:pPr>
      <w:r>
        <w:separator/>
      </w:r>
    </w:p>
  </w:footnote>
  <w:footnote w:type="continuationSeparator" w:id="0">
    <w:p w:rsidR="009A29CB" w:rsidRDefault="009A29CB" w:rsidP="00FC2881">
      <w:pPr>
        <w:spacing w:after="0"/>
      </w:pPr>
      <w:r>
        <w:continuationSeparator/>
      </w:r>
    </w:p>
    <w:p w:rsidR="009A29CB" w:rsidRDefault="009A29CB"/>
  </w:footnote>
  <w:footnote w:type="continuationNotice" w:id="1">
    <w:p w:rsidR="009A29CB" w:rsidRDefault="009A29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4E" w:rsidRPr="00315933" w:rsidRDefault="0077654E" w:rsidP="00D638E0">
    <w:pPr>
      <w:ind w:left="-1134" w:right="-567"/>
      <w:jc w:val="right"/>
    </w:pPr>
  </w:p>
  <w:p w:rsidR="0077654E" w:rsidRDefault="007765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4E" w:rsidRDefault="0077654E" w:rsidP="00E844A0"/>
  <w:p w:rsidR="0077654E" w:rsidRDefault="0077654E" w:rsidP="00E844A0"/>
  <w:p w:rsidR="0077654E" w:rsidRDefault="0077654E" w:rsidP="00E844A0"/>
  <w:p w:rsidR="0077654E" w:rsidRDefault="0077654E" w:rsidP="00E844A0"/>
  <w:p w:rsidR="0077654E" w:rsidRDefault="0077654E" w:rsidP="00E844A0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654E" w:rsidRDefault="0077654E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76C"/>
    <w:multiLevelType w:val="hybridMultilevel"/>
    <w:tmpl w:val="34CA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07B2B"/>
    <w:multiLevelType w:val="hybridMultilevel"/>
    <w:tmpl w:val="E88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54B0"/>
    <w:multiLevelType w:val="multilevel"/>
    <w:tmpl w:val="C4183F12"/>
    <w:numStyleLink w:val="AHPRANumberedlist"/>
  </w:abstractNum>
  <w:abstractNum w:abstractNumId="13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31660"/>
    <w:multiLevelType w:val="multilevel"/>
    <w:tmpl w:val="C4183F12"/>
    <w:numStyleLink w:val="AHPRANumberedlist"/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2F8"/>
    <w:rsid w:val="00000033"/>
    <w:rsid w:val="00006922"/>
    <w:rsid w:val="0001659A"/>
    <w:rsid w:val="000334D7"/>
    <w:rsid w:val="000451B0"/>
    <w:rsid w:val="00055289"/>
    <w:rsid w:val="0006625E"/>
    <w:rsid w:val="00067B17"/>
    <w:rsid w:val="00071439"/>
    <w:rsid w:val="00082FA1"/>
    <w:rsid w:val="000945FB"/>
    <w:rsid w:val="000A3B4A"/>
    <w:rsid w:val="000A6232"/>
    <w:rsid w:val="000A6BF7"/>
    <w:rsid w:val="000D40E2"/>
    <w:rsid w:val="000D76C3"/>
    <w:rsid w:val="000E7E28"/>
    <w:rsid w:val="000F5D90"/>
    <w:rsid w:val="0010139F"/>
    <w:rsid w:val="00104BC8"/>
    <w:rsid w:val="00144DEF"/>
    <w:rsid w:val="001506FE"/>
    <w:rsid w:val="00174F04"/>
    <w:rsid w:val="00196F14"/>
    <w:rsid w:val="001C425C"/>
    <w:rsid w:val="001E1E31"/>
    <w:rsid w:val="001E2849"/>
    <w:rsid w:val="001E4A94"/>
    <w:rsid w:val="001E5621"/>
    <w:rsid w:val="001F24FB"/>
    <w:rsid w:val="00214123"/>
    <w:rsid w:val="00220A3B"/>
    <w:rsid w:val="00224708"/>
    <w:rsid w:val="00233847"/>
    <w:rsid w:val="002650CB"/>
    <w:rsid w:val="0028013F"/>
    <w:rsid w:val="00295B44"/>
    <w:rsid w:val="002B2D48"/>
    <w:rsid w:val="002B5C1E"/>
    <w:rsid w:val="002C08FB"/>
    <w:rsid w:val="002C34EA"/>
    <w:rsid w:val="002E109E"/>
    <w:rsid w:val="002E2614"/>
    <w:rsid w:val="002E2F87"/>
    <w:rsid w:val="00303BE1"/>
    <w:rsid w:val="00305AFC"/>
    <w:rsid w:val="00326E7E"/>
    <w:rsid w:val="003354E4"/>
    <w:rsid w:val="003526CA"/>
    <w:rsid w:val="00393516"/>
    <w:rsid w:val="003A6E59"/>
    <w:rsid w:val="003C42D1"/>
    <w:rsid w:val="003D6DBD"/>
    <w:rsid w:val="003E00B5"/>
    <w:rsid w:val="003E3268"/>
    <w:rsid w:val="003F2F06"/>
    <w:rsid w:val="00405C0A"/>
    <w:rsid w:val="00414F2C"/>
    <w:rsid w:val="00416263"/>
    <w:rsid w:val="00442922"/>
    <w:rsid w:val="00450B34"/>
    <w:rsid w:val="004606A7"/>
    <w:rsid w:val="004644B7"/>
    <w:rsid w:val="00472F1D"/>
    <w:rsid w:val="00485779"/>
    <w:rsid w:val="004A5E5D"/>
    <w:rsid w:val="004A7B4C"/>
    <w:rsid w:val="004B438E"/>
    <w:rsid w:val="004B747B"/>
    <w:rsid w:val="004C7E99"/>
    <w:rsid w:val="004D7537"/>
    <w:rsid w:val="004F5C05"/>
    <w:rsid w:val="00504FEB"/>
    <w:rsid w:val="005124AC"/>
    <w:rsid w:val="00516EF2"/>
    <w:rsid w:val="00517F30"/>
    <w:rsid w:val="0053474F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5E693A"/>
    <w:rsid w:val="005F118A"/>
    <w:rsid w:val="0061109E"/>
    <w:rsid w:val="00616043"/>
    <w:rsid w:val="00630AB8"/>
    <w:rsid w:val="006354DA"/>
    <w:rsid w:val="00640B2C"/>
    <w:rsid w:val="006428D1"/>
    <w:rsid w:val="00667655"/>
    <w:rsid w:val="00667CAD"/>
    <w:rsid w:val="00670F48"/>
    <w:rsid w:val="00672A98"/>
    <w:rsid w:val="00681D5E"/>
    <w:rsid w:val="006A047F"/>
    <w:rsid w:val="006C0257"/>
    <w:rsid w:val="006C0E29"/>
    <w:rsid w:val="006D30FE"/>
    <w:rsid w:val="006D3757"/>
    <w:rsid w:val="006D45FD"/>
    <w:rsid w:val="006D6D35"/>
    <w:rsid w:val="006F4492"/>
    <w:rsid w:val="006F5761"/>
    <w:rsid w:val="006F585B"/>
    <w:rsid w:val="006F7348"/>
    <w:rsid w:val="006F796D"/>
    <w:rsid w:val="0070155F"/>
    <w:rsid w:val="00703258"/>
    <w:rsid w:val="00736B67"/>
    <w:rsid w:val="007372A4"/>
    <w:rsid w:val="00741B04"/>
    <w:rsid w:val="0076115C"/>
    <w:rsid w:val="007664F3"/>
    <w:rsid w:val="0077654E"/>
    <w:rsid w:val="00776872"/>
    <w:rsid w:val="007810A6"/>
    <w:rsid w:val="007832DA"/>
    <w:rsid w:val="007853BB"/>
    <w:rsid w:val="0079197C"/>
    <w:rsid w:val="007A03ED"/>
    <w:rsid w:val="007A35B9"/>
    <w:rsid w:val="007B774D"/>
    <w:rsid w:val="007B77D6"/>
    <w:rsid w:val="007C0B6E"/>
    <w:rsid w:val="007D4836"/>
    <w:rsid w:val="007E2C84"/>
    <w:rsid w:val="007E3545"/>
    <w:rsid w:val="007F0095"/>
    <w:rsid w:val="007F22C5"/>
    <w:rsid w:val="008338F7"/>
    <w:rsid w:val="00836397"/>
    <w:rsid w:val="008376F7"/>
    <w:rsid w:val="0084235F"/>
    <w:rsid w:val="00845054"/>
    <w:rsid w:val="00852D1C"/>
    <w:rsid w:val="00856147"/>
    <w:rsid w:val="00860E35"/>
    <w:rsid w:val="00860F40"/>
    <w:rsid w:val="008615C9"/>
    <w:rsid w:val="00864020"/>
    <w:rsid w:val="00893BFC"/>
    <w:rsid w:val="008979D5"/>
    <w:rsid w:val="008A4C3B"/>
    <w:rsid w:val="008B2AD7"/>
    <w:rsid w:val="008B7FF3"/>
    <w:rsid w:val="008D0D07"/>
    <w:rsid w:val="008D6B7E"/>
    <w:rsid w:val="008D7845"/>
    <w:rsid w:val="009031EA"/>
    <w:rsid w:val="00923B23"/>
    <w:rsid w:val="0092593E"/>
    <w:rsid w:val="00937ED0"/>
    <w:rsid w:val="00952797"/>
    <w:rsid w:val="00963732"/>
    <w:rsid w:val="009777D3"/>
    <w:rsid w:val="009859E6"/>
    <w:rsid w:val="009A0A5D"/>
    <w:rsid w:val="009A29CB"/>
    <w:rsid w:val="009B1FD3"/>
    <w:rsid w:val="009C3544"/>
    <w:rsid w:val="009C6933"/>
    <w:rsid w:val="009D3136"/>
    <w:rsid w:val="00A04C7A"/>
    <w:rsid w:val="00A058E5"/>
    <w:rsid w:val="00A10C1A"/>
    <w:rsid w:val="00A2072E"/>
    <w:rsid w:val="00A237BB"/>
    <w:rsid w:val="00A25802"/>
    <w:rsid w:val="00A31A9B"/>
    <w:rsid w:val="00A443DC"/>
    <w:rsid w:val="00A458ED"/>
    <w:rsid w:val="00A509AB"/>
    <w:rsid w:val="00A570A3"/>
    <w:rsid w:val="00A77F54"/>
    <w:rsid w:val="00A82078"/>
    <w:rsid w:val="00A838C8"/>
    <w:rsid w:val="00A91C42"/>
    <w:rsid w:val="00A9516B"/>
    <w:rsid w:val="00A96367"/>
    <w:rsid w:val="00A9780A"/>
    <w:rsid w:val="00AA00AF"/>
    <w:rsid w:val="00AA2FC9"/>
    <w:rsid w:val="00AA3E41"/>
    <w:rsid w:val="00AB124E"/>
    <w:rsid w:val="00AB12F8"/>
    <w:rsid w:val="00AB283D"/>
    <w:rsid w:val="00AD312E"/>
    <w:rsid w:val="00AD6A34"/>
    <w:rsid w:val="00AE3EAF"/>
    <w:rsid w:val="00B024B0"/>
    <w:rsid w:val="00B067A0"/>
    <w:rsid w:val="00B34EDA"/>
    <w:rsid w:val="00B40040"/>
    <w:rsid w:val="00B40D57"/>
    <w:rsid w:val="00B440FA"/>
    <w:rsid w:val="00B51748"/>
    <w:rsid w:val="00B53673"/>
    <w:rsid w:val="00B57198"/>
    <w:rsid w:val="00B57F5A"/>
    <w:rsid w:val="00B64492"/>
    <w:rsid w:val="00B8068A"/>
    <w:rsid w:val="00B818FB"/>
    <w:rsid w:val="00B85023"/>
    <w:rsid w:val="00B929A1"/>
    <w:rsid w:val="00BA2456"/>
    <w:rsid w:val="00BA3008"/>
    <w:rsid w:val="00BA469B"/>
    <w:rsid w:val="00BB4A5B"/>
    <w:rsid w:val="00BC4E8E"/>
    <w:rsid w:val="00BD26A0"/>
    <w:rsid w:val="00BF2534"/>
    <w:rsid w:val="00BF79DC"/>
    <w:rsid w:val="00C26126"/>
    <w:rsid w:val="00C35DE1"/>
    <w:rsid w:val="00C3795C"/>
    <w:rsid w:val="00C524AA"/>
    <w:rsid w:val="00C53E8D"/>
    <w:rsid w:val="00C54689"/>
    <w:rsid w:val="00C64A56"/>
    <w:rsid w:val="00C71938"/>
    <w:rsid w:val="00C81B3A"/>
    <w:rsid w:val="00C9596D"/>
    <w:rsid w:val="00CB6C08"/>
    <w:rsid w:val="00CD0DCA"/>
    <w:rsid w:val="00CD392B"/>
    <w:rsid w:val="00D12F61"/>
    <w:rsid w:val="00D17E11"/>
    <w:rsid w:val="00D17EE1"/>
    <w:rsid w:val="00D201C6"/>
    <w:rsid w:val="00D26B6B"/>
    <w:rsid w:val="00D26D2E"/>
    <w:rsid w:val="00D41B33"/>
    <w:rsid w:val="00D54266"/>
    <w:rsid w:val="00D638E0"/>
    <w:rsid w:val="00D672E1"/>
    <w:rsid w:val="00D716BA"/>
    <w:rsid w:val="00D8404D"/>
    <w:rsid w:val="00D87C12"/>
    <w:rsid w:val="00D9117B"/>
    <w:rsid w:val="00DC2952"/>
    <w:rsid w:val="00DF01BD"/>
    <w:rsid w:val="00DF1AB7"/>
    <w:rsid w:val="00E01A23"/>
    <w:rsid w:val="00E07C02"/>
    <w:rsid w:val="00E12B06"/>
    <w:rsid w:val="00E15BF6"/>
    <w:rsid w:val="00E23BCB"/>
    <w:rsid w:val="00E54005"/>
    <w:rsid w:val="00E71CB9"/>
    <w:rsid w:val="00E73698"/>
    <w:rsid w:val="00E77E23"/>
    <w:rsid w:val="00E8251C"/>
    <w:rsid w:val="00E844A0"/>
    <w:rsid w:val="00ED2C55"/>
    <w:rsid w:val="00ED6AC4"/>
    <w:rsid w:val="00EE471C"/>
    <w:rsid w:val="00F008AA"/>
    <w:rsid w:val="00F1301E"/>
    <w:rsid w:val="00F13ED2"/>
    <w:rsid w:val="00F27ACB"/>
    <w:rsid w:val="00F3616F"/>
    <w:rsid w:val="00F37069"/>
    <w:rsid w:val="00F42D27"/>
    <w:rsid w:val="00F52240"/>
    <w:rsid w:val="00F57B2C"/>
    <w:rsid w:val="00F61F9B"/>
    <w:rsid w:val="00F6471D"/>
    <w:rsid w:val="00F6618F"/>
    <w:rsid w:val="00F70DD5"/>
    <w:rsid w:val="00F73165"/>
    <w:rsid w:val="00F735FF"/>
    <w:rsid w:val="00F809D5"/>
    <w:rsid w:val="00F87FF2"/>
    <w:rsid w:val="00F90BCE"/>
    <w:rsid w:val="00F91163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0AB260EA-9244-41B2-9C10-3BA5CE7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136"/>
    <w:pPr>
      <w:spacing w:after="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136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9D3136"/>
    <w:pPr>
      <w:spacing w:after="0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17E11"/>
    <w:pPr>
      <w:spacing w:after="200"/>
    </w:pPr>
    <w:rPr>
      <w:rFonts w:ascii="Arial" w:eastAsia="Cambria" w:hAnsi="Arial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17E11"/>
    <w:rPr>
      <w:rFonts w:asciiTheme="minorHAnsi" w:eastAsiaTheme="minorEastAsia" w:hAnsiTheme="minorHAnsi" w:cstheme="minorBidi"/>
      <w:b/>
      <w:bCs/>
      <w:lang w:val="en-AU"/>
    </w:rPr>
  </w:style>
  <w:style w:type="paragraph" w:customStyle="1" w:styleId="Default">
    <w:name w:val="Default"/>
    <w:rsid w:val="00B40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bertson\Downloads\Short-document-template%20(2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63EC-28D7-45E7-BDB4-42F5C3CE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 (22).DOTX</Template>
  <TotalTime>0</TotalTime>
  <Pages>3</Pages>
  <Words>777</Words>
  <Characters>3684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expenses information sheet – Tribunal proceedings</vt:lpstr>
    </vt:vector>
  </TitlesOfParts>
  <Company/>
  <LinksUpToDate>false</LinksUpToDate>
  <CharactersWithSpaces>4422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expenses information sheet – Tribunal proceedings</dc:title>
  <dc:subject>Fact sheet</dc:subject>
  <dc:creator>AHPRA</dc:creator>
  <cp:lastModifiedBy>Brett Cremer</cp:lastModifiedBy>
  <cp:revision>2</cp:revision>
  <cp:lastPrinted>2018-04-24T07:29:00Z</cp:lastPrinted>
  <dcterms:created xsi:type="dcterms:W3CDTF">2019-05-13T23:26:00Z</dcterms:created>
  <dcterms:modified xsi:type="dcterms:W3CDTF">2019-05-13T23:26:00Z</dcterms:modified>
</cp:coreProperties>
</file>