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6F169C" w:rsidRDefault="00CD655B" w:rsidP="00C3795C">
      <w:pPr>
        <w:pStyle w:val="AHPRADocumenttitle"/>
      </w:pPr>
      <w:bookmarkStart w:id="0" w:name="_GoBack"/>
      <w:bookmarkEnd w:id="0"/>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439.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4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" adj="666,-1,666"/>
        </w:pict>
      </w:r>
      <w:r w:rsidR="00092369" w:rsidRPr="006F169C">
        <w:t xml:space="preserve">Complaints management quarterly </w:t>
      </w:r>
      <w:r w:rsidR="00167F26" w:rsidRPr="006F169C">
        <w:t>performance data</w:t>
      </w:r>
    </w:p>
    <w:p w:rsidR="00C3795C" w:rsidRPr="006F169C" w:rsidRDefault="00C3795C" w:rsidP="00FC2881">
      <w:pPr>
        <w:outlineLvl w:val="0"/>
        <w:rPr>
          <w:rFonts w:cs="Arial"/>
        </w:rPr>
      </w:pPr>
    </w:p>
    <w:p w:rsidR="00C35DE1" w:rsidRPr="006F169C" w:rsidRDefault="00167F26" w:rsidP="00C3795C">
      <w:pPr>
        <w:pStyle w:val="AHPRAbody"/>
      </w:pPr>
      <w:r w:rsidRPr="006F169C">
        <w:t>April 2015</w:t>
      </w:r>
    </w:p>
    <w:p w:rsidR="00C3795C" w:rsidRPr="006F169C" w:rsidRDefault="00167F26" w:rsidP="00C3795C">
      <w:pPr>
        <w:pStyle w:val="AHPRADocumentsubheading"/>
      </w:pPr>
      <w:r w:rsidRPr="006F169C">
        <w:t>AHPRA to the Office of the Health Ombudsman, Queensland</w:t>
      </w:r>
    </w:p>
    <w:p w:rsidR="00C3795C" w:rsidRPr="006F169C" w:rsidRDefault="00167F26" w:rsidP="000F5D90">
      <w:pPr>
        <w:pStyle w:val="AHPRASubheading"/>
        <w:rPr>
          <w:rFonts w:cs="Arial"/>
        </w:rPr>
      </w:pPr>
      <w:r w:rsidRPr="006F169C">
        <w:rPr>
          <w:rFonts w:cs="Arial"/>
        </w:rPr>
        <w:t>Disclaimer</w:t>
      </w:r>
    </w:p>
    <w:p w:rsidR="009D030F" w:rsidRPr="006F169C" w:rsidRDefault="000F5D90" w:rsidP="000921A7">
      <w:pPr>
        <w:pStyle w:val="AHPRAbody"/>
      </w:pPr>
      <w:r w:rsidRPr="006F169C">
        <w:t xml:space="preserve">This </w:t>
      </w:r>
      <w:r w:rsidR="00167F26" w:rsidRPr="006F169C">
        <w:t>report contains data current at 31 March 2015</w:t>
      </w:r>
      <w:r w:rsidR="00314A4A">
        <w:t xml:space="preserve">. </w:t>
      </w:r>
    </w:p>
    <w:p w:rsidR="000921A7" w:rsidRPr="006F169C" w:rsidRDefault="000921A7">
      <w:pPr>
        <w:rPr>
          <w:rFonts w:cs="Arial"/>
        </w:rPr>
      </w:pPr>
    </w:p>
    <w:p w:rsidR="000921A7" w:rsidRPr="006F169C" w:rsidRDefault="000921A7" w:rsidP="000921A7">
      <w:pPr>
        <w:pStyle w:val="AHPRADocumentsubheading"/>
      </w:pPr>
      <w:r w:rsidRPr="006F169C">
        <w:br w:type="page"/>
      </w:r>
      <w:r w:rsidRPr="006F169C">
        <w:lastRenderedPageBreak/>
        <w:t>Number of registered practitioners</w:t>
      </w:r>
    </w:p>
    <w:tbl>
      <w:tblPr>
        <w:tblW w:w="0" w:type="auto"/>
        <w:tblCellMar>
          <w:left w:w="0" w:type="dxa"/>
          <w:right w:w="0" w:type="dxa"/>
        </w:tblCellMar>
        <w:tblLook w:val="04A0" w:firstRow="1" w:lastRow="0" w:firstColumn="1" w:lastColumn="0" w:noHBand="0" w:noVBand="1"/>
      </w:tblPr>
      <w:tblGrid>
        <w:gridCol w:w="7013"/>
        <w:gridCol w:w="2778"/>
        <w:gridCol w:w="3439"/>
      </w:tblGrid>
      <w:tr w:rsidR="000921A7" w:rsidRPr="006F169C" w:rsidTr="006E40C6">
        <w:trPr>
          <w:trHeight w:val="317"/>
        </w:trPr>
        <w:tc>
          <w:tcPr>
            <w:tcW w:w="7013" w:type="dxa"/>
            <w:shd w:val="clear" w:color="auto" w:fill="auto"/>
            <w:vAlign w:val="center"/>
            <w:hideMark/>
          </w:tcPr>
          <w:p w:rsidR="000921A7" w:rsidRPr="006F169C" w:rsidRDefault="000921A7" w:rsidP="00870C15">
            <w:pPr>
              <w:spacing w:after="0"/>
              <w:rPr>
                <w:rFonts w:eastAsia="Times New Roman" w:cs="Arial"/>
                <w:b/>
                <w:bCs/>
                <w:color w:val="000000"/>
                <w:sz w:val="20"/>
                <w:szCs w:val="20"/>
                <w:lang w:eastAsia="en-AU"/>
              </w:rPr>
            </w:pPr>
          </w:p>
        </w:tc>
        <w:tc>
          <w:tcPr>
            <w:tcW w:w="2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21A7" w:rsidRPr="006F169C" w:rsidRDefault="000921A7" w:rsidP="00870C15">
            <w:pPr>
              <w:spacing w:after="0"/>
              <w:jc w:val="center"/>
              <w:rPr>
                <w:rFonts w:eastAsia="Times New Roman" w:cs="Arial"/>
                <w:bCs/>
                <w:color w:val="000000"/>
                <w:sz w:val="18"/>
                <w:szCs w:val="20"/>
                <w:lang w:eastAsia="en-AU"/>
              </w:rPr>
            </w:pPr>
            <w:r w:rsidRPr="006F169C">
              <w:rPr>
                <w:rFonts w:eastAsia="Times New Roman" w:cs="Arial"/>
                <w:bCs/>
                <w:color w:val="000000"/>
                <w:sz w:val="18"/>
                <w:szCs w:val="20"/>
                <w:lang w:eastAsia="en-AU"/>
              </w:rPr>
              <w:t>Count</w:t>
            </w:r>
          </w:p>
        </w:tc>
        <w:tc>
          <w:tcPr>
            <w:tcW w:w="34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21A7" w:rsidRPr="006F169C" w:rsidRDefault="000921A7" w:rsidP="00870C15">
            <w:pPr>
              <w:spacing w:after="0"/>
              <w:jc w:val="center"/>
              <w:rPr>
                <w:rFonts w:eastAsia="Times New Roman" w:cs="Arial"/>
                <w:bCs/>
                <w:color w:val="000000"/>
                <w:sz w:val="18"/>
                <w:szCs w:val="20"/>
                <w:lang w:eastAsia="en-AU"/>
              </w:rPr>
            </w:pPr>
            <w:r w:rsidRPr="006F169C">
              <w:rPr>
                <w:rFonts w:eastAsia="Times New Roman" w:cs="Arial"/>
                <w:bCs/>
                <w:color w:val="000000"/>
                <w:sz w:val="18"/>
                <w:szCs w:val="20"/>
                <w:lang w:eastAsia="en-AU"/>
              </w:rPr>
              <w:t xml:space="preserve">% of Total </w:t>
            </w:r>
          </w:p>
        </w:tc>
      </w:tr>
      <w:tr w:rsidR="000921A7" w:rsidRPr="006F169C" w:rsidTr="006E40C6">
        <w:trPr>
          <w:trHeight w:val="210"/>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Aboriginal and Torres Strait Islander health practice</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37</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0.03%</w:t>
            </w:r>
          </w:p>
        </w:tc>
      </w:tr>
      <w:tr w:rsidR="000921A7" w:rsidRPr="006F169C" w:rsidTr="006E40C6">
        <w:trPr>
          <w:trHeight w:val="210"/>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Chinese medicine</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831</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0.69%</w:t>
            </w:r>
          </w:p>
        </w:tc>
      </w:tr>
      <w:tr w:rsidR="000921A7" w:rsidRPr="006F169C" w:rsidTr="006E40C6">
        <w:trPr>
          <w:trHeight w:val="224"/>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Chiropractic</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771</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0.64%</w:t>
            </w:r>
          </w:p>
        </w:tc>
      </w:tr>
      <w:tr w:rsidR="000921A7" w:rsidRPr="006F169C" w:rsidTr="006E40C6">
        <w:trPr>
          <w:trHeight w:val="210"/>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Dental</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4,182</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3.46%</w:t>
            </w:r>
          </w:p>
        </w:tc>
      </w:tr>
      <w:tr w:rsidR="000921A7" w:rsidRPr="006F169C" w:rsidTr="006E40C6">
        <w:trPr>
          <w:trHeight w:val="210"/>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Medical</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19,859</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16.41%</w:t>
            </w:r>
          </w:p>
        </w:tc>
      </w:tr>
      <w:tr w:rsidR="000921A7" w:rsidRPr="006F169C" w:rsidTr="006E40C6">
        <w:trPr>
          <w:trHeight w:val="224"/>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Medical radiation practice</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2,937</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2.43%</w:t>
            </w:r>
          </w:p>
        </w:tc>
      </w:tr>
      <w:tr w:rsidR="000921A7" w:rsidRPr="006F169C" w:rsidTr="006E40C6">
        <w:trPr>
          <w:trHeight w:val="210"/>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Midwifery</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634</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0.52%</w:t>
            </w:r>
          </w:p>
        </w:tc>
      </w:tr>
      <w:tr w:rsidR="000921A7" w:rsidRPr="006F169C" w:rsidTr="006E40C6">
        <w:trPr>
          <w:trHeight w:val="210"/>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Nursing</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63,901</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52.81%</w:t>
            </w:r>
          </w:p>
        </w:tc>
      </w:tr>
      <w:tr w:rsidR="000921A7" w:rsidRPr="006F169C" w:rsidTr="006E40C6">
        <w:trPr>
          <w:trHeight w:val="224"/>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Nursing and midwifery</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6,127</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5.06%</w:t>
            </w:r>
          </w:p>
        </w:tc>
      </w:tr>
      <w:tr w:rsidR="000921A7" w:rsidRPr="006F169C" w:rsidTr="006E40C6">
        <w:trPr>
          <w:trHeight w:val="210"/>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Occupational therapy</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3,340</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2.76%</w:t>
            </w:r>
          </w:p>
        </w:tc>
      </w:tr>
      <w:tr w:rsidR="000921A7" w:rsidRPr="006F169C" w:rsidTr="006E40C6">
        <w:trPr>
          <w:trHeight w:val="210"/>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Optometry</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983</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0.81%</w:t>
            </w:r>
          </w:p>
        </w:tc>
      </w:tr>
      <w:tr w:rsidR="000921A7" w:rsidRPr="006F169C" w:rsidTr="006E40C6">
        <w:trPr>
          <w:trHeight w:val="224"/>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Osteopathy</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181</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0.15%</w:t>
            </w:r>
          </w:p>
        </w:tc>
      </w:tr>
      <w:tr w:rsidR="000921A7" w:rsidRPr="006F169C" w:rsidTr="006E40C6">
        <w:trPr>
          <w:trHeight w:val="210"/>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Pharmacy</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5,672</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4.69%</w:t>
            </w:r>
          </w:p>
        </w:tc>
      </w:tr>
      <w:tr w:rsidR="000921A7" w:rsidRPr="006F169C" w:rsidTr="006E40C6">
        <w:trPr>
          <w:trHeight w:val="210"/>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Physiotherapy</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5,065</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4.19%</w:t>
            </w:r>
          </w:p>
        </w:tc>
      </w:tr>
      <w:tr w:rsidR="000921A7" w:rsidRPr="006F169C" w:rsidTr="006E40C6">
        <w:trPr>
          <w:trHeight w:val="224"/>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Podiatry</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731</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0.60%</w:t>
            </w:r>
          </w:p>
        </w:tc>
      </w:tr>
      <w:tr w:rsidR="000921A7" w:rsidRPr="006F169C" w:rsidTr="006E40C6">
        <w:trPr>
          <w:trHeight w:val="210"/>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Psychology</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5,745</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sz w:val="18"/>
                <w:szCs w:val="20"/>
                <w:lang w:eastAsia="en-AU"/>
              </w:rPr>
            </w:pPr>
            <w:r w:rsidRPr="006F169C">
              <w:rPr>
                <w:rFonts w:eastAsia="Times New Roman" w:cs="Arial"/>
                <w:sz w:val="18"/>
                <w:szCs w:val="20"/>
                <w:lang w:eastAsia="en-AU"/>
              </w:rPr>
              <w:t>4.75%</w:t>
            </w:r>
          </w:p>
        </w:tc>
      </w:tr>
      <w:tr w:rsidR="000921A7" w:rsidRPr="006F169C" w:rsidTr="006E40C6">
        <w:trPr>
          <w:trHeight w:val="210"/>
        </w:trPr>
        <w:tc>
          <w:tcPr>
            <w:tcW w:w="701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6F169C" w:rsidP="006F169C">
            <w:pPr>
              <w:spacing w:after="0"/>
              <w:rPr>
                <w:rFonts w:eastAsia="Times New Roman" w:cs="Arial"/>
                <w:sz w:val="20"/>
                <w:szCs w:val="20"/>
                <w:lang w:eastAsia="en-AU"/>
              </w:rPr>
            </w:pPr>
            <w:r w:rsidRPr="006F169C">
              <w:rPr>
                <w:rFonts w:eastAsia="Times New Roman" w:cs="Arial"/>
                <w:color w:val="000000"/>
                <w:sz w:val="20"/>
                <w:szCs w:val="20"/>
                <w:lang w:eastAsia="en-AU"/>
              </w:rPr>
              <w:t>Total</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color w:val="000000"/>
                <w:sz w:val="18"/>
                <w:szCs w:val="20"/>
                <w:lang w:eastAsia="en-AU"/>
              </w:rPr>
            </w:pPr>
            <w:r w:rsidRPr="006F169C">
              <w:rPr>
                <w:rFonts w:eastAsia="Times New Roman" w:cs="Arial"/>
                <w:color w:val="000000"/>
                <w:sz w:val="18"/>
                <w:szCs w:val="20"/>
                <w:lang w:eastAsia="en-AU"/>
              </w:rPr>
              <w:t>120,996</w:t>
            </w:r>
          </w:p>
        </w:tc>
        <w:tc>
          <w:tcPr>
            <w:tcW w:w="343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0921A7" w:rsidRPr="006F169C" w:rsidRDefault="000921A7" w:rsidP="006E40C6">
            <w:pPr>
              <w:spacing w:after="0"/>
              <w:jc w:val="center"/>
              <w:rPr>
                <w:rFonts w:eastAsia="Times New Roman" w:cs="Arial"/>
                <w:color w:val="000000"/>
                <w:sz w:val="18"/>
                <w:szCs w:val="20"/>
                <w:lang w:eastAsia="en-AU"/>
              </w:rPr>
            </w:pPr>
            <w:r w:rsidRPr="006F169C">
              <w:rPr>
                <w:rFonts w:eastAsia="Times New Roman" w:cs="Arial"/>
                <w:color w:val="000000"/>
                <w:sz w:val="18"/>
                <w:szCs w:val="20"/>
                <w:lang w:eastAsia="en-AU"/>
              </w:rPr>
              <w:t>100.00%</w:t>
            </w:r>
          </w:p>
        </w:tc>
      </w:tr>
      <w:tr w:rsidR="000921A7" w:rsidRPr="006F169C" w:rsidTr="006E40C6">
        <w:trPr>
          <w:trHeight w:val="224"/>
        </w:trPr>
        <w:tc>
          <w:tcPr>
            <w:tcW w:w="7013" w:type="dxa"/>
            <w:shd w:val="clear" w:color="auto" w:fill="auto"/>
            <w:vAlign w:val="center"/>
            <w:hideMark/>
          </w:tcPr>
          <w:p w:rsidR="000921A7" w:rsidRPr="006F169C" w:rsidRDefault="000921A7" w:rsidP="00870C15">
            <w:pPr>
              <w:spacing w:after="0"/>
              <w:rPr>
                <w:rFonts w:eastAsia="Times New Roman" w:cs="Arial"/>
                <w:color w:val="000000"/>
                <w:sz w:val="17"/>
                <w:szCs w:val="17"/>
                <w:lang w:eastAsia="en-AU"/>
              </w:rPr>
            </w:pPr>
          </w:p>
        </w:tc>
        <w:tc>
          <w:tcPr>
            <w:tcW w:w="2778" w:type="dxa"/>
            <w:shd w:val="clear" w:color="auto" w:fill="auto"/>
            <w:vAlign w:val="center"/>
            <w:hideMark/>
          </w:tcPr>
          <w:p w:rsidR="000921A7" w:rsidRPr="006F169C" w:rsidRDefault="000921A7" w:rsidP="00870C15">
            <w:pPr>
              <w:spacing w:after="0"/>
              <w:rPr>
                <w:rFonts w:eastAsia="Times New Roman" w:cs="Arial"/>
                <w:sz w:val="20"/>
                <w:szCs w:val="20"/>
                <w:lang w:eastAsia="en-AU"/>
              </w:rPr>
            </w:pPr>
          </w:p>
        </w:tc>
        <w:tc>
          <w:tcPr>
            <w:tcW w:w="3439" w:type="dxa"/>
            <w:shd w:val="clear" w:color="auto" w:fill="auto"/>
            <w:vAlign w:val="center"/>
            <w:hideMark/>
          </w:tcPr>
          <w:p w:rsidR="000921A7" w:rsidRPr="006F169C" w:rsidRDefault="000921A7" w:rsidP="00870C15">
            <w:pPr>
              <w:spacing w:after="0"/>
              <w:rPr>
                <w:rFonts w:eastAsia="Times New Roman" w:cs="Arial"/>
                <w:sz w:val="20"/>
                <w:szCs w:val="20"/>
                <w:lang w:eastAsia="en-AU"/>
              </w:rPr>
            </w:pPr>
          </w:p>
        </w:tc>
      </w:tr>
    </w:tbl>
    <w:p w:rsidR="000921A7" w:rsidRPr="006F169C" w:rsidRDefault="000921A7" w:rsidP="000921A7">
      <w:pPr>
        <w:pStyle w:val="AHPRAbody"/>
      </w:pPr>
      <w:r w:rsidRPr="006F169C">
        <w:t>This table shows the number of registered health practitioners in the National Registration and Accreditation Scheme (the National Scheme) with a principal place of practice (PPP) in Queensland.</w:t>
      </w:r>
    </w:p>
    <w:p w:rsidR="000921A7" w:rsidRPr="006F169C" w:rsidRDefault="000921A7">
      <w:pPr>
        <w:rPr>
          <w:rFonts w:cs="Arial"/>
        </w:rPr>
      </w:pPr>
    </w:p>
    <w:p w:rsidR="000921A7" w:rsidRPr="006F169C" w:rsidRDefault="000921A7">
      <w:pPr>
        <w:spacing w:after="0"/>
        <w:rPr>
          <w:rFonts w:cs="Arial"/>
        </w:rPr>
      </w:pPr>
      <w:r w:rsidRPr="006F169C">
        <w:rPr>
          <w:rFonts w:cs="Arial"/>
        </w:rPr>
        <w:br w:type="page"/>
      </w:r>
    </w:p>
    <w:p w:rsidR="000921A7" w:rsidRPr="006F169C" w:rsidRDefault="000921A7" w:rsidP="006F169C">
      <w:pPr>
        <w:pStyle w:val="AHPRADocumentsubheading"/>
      </w:pPr>
      <w:r w:rsidRPr="006F169C">
        <w:lastRenderedPageBreak/>
        <w:t>Number of registered practitioners with conditions, undertakings, reprimands or registration requirements on their registration</w:t>
      </w:r>
    </w:p>
    <w:tbl>
      <w:tblPr>
        <w:tblW w:w="13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2"/>
        <w:gridCol w:w="2753"/>
        <w:gridCol w:w="2753"/>
        <w:gridCol w:w="2753"/>
      </w:tblGrid>
      <w:tr w:rsidR="000921A7" w:rsidRPr="006F169C" w:rsidTr="006E40C6">
        <w:trPr>
          <w:trHeight w:val="320"/>
        </w:trPr>
        <w:tc>
          <w:tcPr>
            <w:tcW w:w="4962" w:type="dxa"/>
            <w:tcBorders>
              <w:top w:val="nil"/>
              <w:left w:val="nil"/>
            </w:tcBorders>
            <w:shd w:val="clear" w:color="auto" w:fill="auto"/>
            <w:vAlign w:val="center"/>
            <w:hideMark/>
          </w:tcPr>
          <w:p w:rsidR="000921A7" w:rsidRPr="006F169C" w:rsidRDefault="000921A7" w:rsidP="00870C15">
            <w:pPr>
              <w:spacing w:after="0"/>
              <w:rPr>
                <w:rFonts w:eastAsia="Times New Roman" w:cs="Arial"/>
                <w:bCs/>
                <w:color w:val="000000"/>
                <w:sz w:val="20"/>
                <w:szCs w:val="20"/>
                <w:lang w:eastAsia="en-AU"/>
              </w:rPr>
            </w:pPr>
          </w:p>
        </w:tc>
        <w:tc>
          <w:tcPr>
            <w:tcW w:w="2753" w:type="dxa"/>
            <w:shd w:val="clear" w:color="auto" w:fill="BFBFBF" w:themeFill="background1" w:themeFillShade="BF"/>
            <w:vAlign w:val="center"/>
            <w:hideMark/>
          </w:tcPr>
          <w:p w:rsidR="000921A7" w:rsidRPr="006F169C" w:rsidRDefault="000921A7" w:rsidP="00870C15">
            <w:pPr>
              <w:spacing w:after="0"/>
              <w:jc w:val="center"/>
              <w:rPr>
                <w:rFonts w:eastAsia="Times New Roman" w:cs="Arial"/>
                <w:bCs/>
                <w:color w:val="000000"/>
                <w:sz w:val="18"/>
                <w:szCs w:val="18"/>
                <w:lang w:eastAsia="en-AU"/>
              </w:rPr>
            </w:pPr>
            <w:r w:rsidRPr="006F169C">
              <w:rPr>
                <w:rFonts w:eastAsia="Times New Roman" w:cs="Arial"/>
                <w:bCs/>
                <w:color w:val="000000"/>
                <w:sz w:val="18"/>
                <w:szCs w:val="18"/>
                <w:lang w:eastAsia="en-AU"/>
              </w:rPr>
              <w:t>Total registrants</w:t>
            </w:r>
          </w:p>
        </w:tc>
        <w:tc>
          <w:tcPr>
            <w:tcW w:w="2753" w:type="dxa"/>
            <w:shd w:val="clear" w:color="auto" w:fill="BFBFBF" w:themeFill="background1" w:themeFillShade="BF"/>
            <w:vAlign w:val="center"/>
            <w:hideMark/>
          </w:tcPr>
          <w:p w:rsidR="000921A7" w:rsidRPr="006F169C" w:rsidRDefault="000921A7" w:rsidP="00870C15">
            <w:pPr>
              <w:spacing w:after="0"/>
              <w:jc w:val="center"/>
              <w:rPr>
                <w:rFonts w:eastAsia="Times New Roman" w:cs="Arial"/>
                <w:bCs/>
                <w:color w:val="000000"/>
                <w:sz w:val="18"/>
                <w:szCs w:val="18"/>
                <w:lang w:eastAsia="en-AU"/>
              </w:rPr>
            </w:pPr>
            <w:r w:rsidRPr="006F169C">
              <w:rPr>
                <w:rFonts w:eastAsia="Times New Roman" w:cs="Arial"/>
                <w:bCs/>
                <w:color w:val="000000"/>
                <w:sz w:val="18"/>
                <w:szCs w:val="18"/>
                <w:lang w:eastAsia="en-AU"/>
              </w:rPr>
              <w:t>Registrants with restrictions</w:t>
            </w:r>
          </w:p>
        </w:tc>
        <w:tc>
          <w:tcPr>
            <w:tcW w:w="2753" w:type="dxa"/>
            <w:shd w:val="clear" w:color="auto" w:fill="BFBFBF" w:themeFill="background1" w:themeFillShade="BF"/>
            <w:vAlign w:val="center"/>
            <w:hideMark/>
          </w:tcPr>
          <w:p w:rsidR="000921A7" w:rsidRPr="006F169C" w:rsidRDefault="000921A7" w:rsidP="00870C15">
            <w:pPr>
              <w:spacing w:after="0"/>
              <w:jc w:val="center"/>
              <w:rPr>
                <w:rFonts w:eastAsia="Times New Roman" w:cs="Arial"/>
                <w:bCs/>
                <w:color w:val="000000"/>
                <w:sz w:val="18"/>
                <w:szCs w:val="18"/>
                <w:lang w:eastAsia="en-AU"/>
              </w:rPr>
            </w:pPr>
            <w:r w:rsidRPr="006F169C">
              <w:rPr>
                <w:rFonts w:eastAsia="Times New Roman" w:cs="Arial"/>
                <w:bCs/>
                <w:color w:val="000000"/>
                <w:sz w:val="18"/>
                <w:szCs w:val="18"/>
                <w:lang w:eastAsia="en-AU"/>
              </w:rPr>
              <w:t>Percentage of total registrants</w:t>
            </w:r>
          </w:p>
        </w:tc>
      </w:tr>
      <w:tr w:rsidR="000921A7" w:rsidRPr="006F169C" w:rsidTr="006E40C6">
        <w:trPr>
          <w:trHeight w:val="341"/>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Aboriginal and Torres Strait Islander health practice</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37</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9</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24.3%</w:t>
            </w:r>
          </w:p>
        </w:tc>
      </w:tr>
      <w:tr w:rsidR="000921A7" w:rsidRPr="006F169C" w:rsidTr="006E40C6">
        <w:trPr>
          <w:trHeight w:val="320"/>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Chinese medicine</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831</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120</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14.4%</w:t>
            </w:r>
          </w:p>
        </w:tc>
      </w:tr>
      <w:tr w:rsidR="000921A7" w:rsidRPr="006F169C" w:rsidTr="006E40C6">
        <w:trPr>
          <w:trHeight w:val="320"/>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Chiropractic</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771</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9</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1.2%</w:t>
            </w:r>
          </w:p>
        </w:tc>
      </w:tr>
      <w:tr w:rsidR="000921A7" w:rsidRPr="006F169C" w:rsidTr="006E40C6">
        <w:trPr>
          <w:trHeight w:val="341"/>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Dental</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4,182</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74</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1.8%</w:t>
            </w:r>
          </w:p>
        </w:tc>
      </w:tr>
      <w:tr w:rsidR="000921A7" w:rsidRPr="006F169C" w:rsidTr="006E40C6">
        <w:trPr>
          <w:trHeight w:val="320"/>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Medical</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19,859</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2,229</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11.2%</w:t>
            </w:r>
          </w:p>
        </w:tc>
      </w:tr>
      <w:tr w:rsidR="000921A7" w:rsidRPr="006F169C" w:rsidTr="006E40C6">
        <w:trPr>
          <w:trHeight w:val="320"/>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Medical radiation practice</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2,937</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36</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1.2%</w:t>
            </w:r>
          </w:p>
        </w:tc>
      </w:tr>
      <w:tr w:rsidR="000921A7" w:rsidRPr="006F169C" w:rsidTr="006E40C6">
        <w:trPr>
          <w:trHeight w:val="341"/>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Midwifery</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634</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6</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0.9%</w:t>
            </w:r>
          </w:p>
        </w:tc>
      </w:tr>
      <w:tr w:rsidR="000921A7" w:rsidRPr="006F169C" w:rsidTr="006E40C6">
        <w:trPr>
          <w:trHeight w:val="320"/>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Nursing</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63,901</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478</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0.7%</w:t>
            </w:r>
          </w:p>
        </w:tc>
      </w:tr>
      <w:tr w:rsidR="000921A7" w:rsidRPr="006F169C" w:rsidTr="006E40C6">
        <w:trPr>
          <w:trHeight w:val="320"/>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Nursing and midwifery</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6,127</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17</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0.3%</w:t>
            </w:r>
          </w:p>
        </w:tc>
      </w:tr>
      <w:tr w:rsidR="000921A7" w:rsidRPr="006F169C" w:rsidTr="006E40C6">
        <w:trPr>
          <w:trHeight w:val="341"/>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Occupational therapy</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3,340</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21</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0.6%</w:t>
            </w:r>
          </w:p>
        </w:tc>
      </w:tr>
      <w:tr w:rsidR="000921A7" w:rsidRPr="006F169C" w:rsidTr="006E40C6">
        <w:trPr>
          <w:trHeight w:val="320"/>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Optometry</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983</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2</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0.2%</w:t>
            </w:r>
          </w:p>
        </w:tc>
      </w:tr>
      <w:tr w:rsidR="000921A7" w:rsidRPr="006F169C" w:rsidTr="006E40C6">
        <w:trPr>
          <w:trHeight w:val="320"/>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Osteopathy</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181</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4</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2.2%</w:t>
            </w:r>
          </w:p>
        </w:tc>
      </w:tr>
      <w:tr w:rsidR="000921A7" w:rsidRPr="006F169C" w:rsidTr="006E40C6">
        <w:trPr>
          <w:trHeight w:val="341"/>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Pharmacy</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5,672</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476</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8.4%</w:t>
            </w:r>
          </w:p>
        </w:tc>
      </w:tr>
      <w:tr w:rsidR="000921A7" w:rsidRPr="006F169C" w:rsidTr="006E40C6">
        <w:trPr>
          <w:trHeight w:val="320"/>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Physiotherapy</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5,065</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45</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0.9%</w:t>
            </w:r>
          </w:p>
        </w:tc>
      </w:tr>
      <w:tr w:rsidR="000921A7" w:rsidRPr="006F169C" w:rsidTr="006E40C6">
        <w:trPr>
          <w:trHeight w:val="320"/>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Podiatry</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731</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3</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0.4%</w:t>
            </w:r>
          </w:p>
        </w:tc>
      </w:tr>
      <w:tr w:rsidR="000921A7" w:rsidRPr="006F169C" w:rsidTr="006E40C6">
        <w:trPr>
          <w:trHeight w:val="341"/>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Psychology</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5,745</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918</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sz w:val="18"/>
                <w:szCs w:val="18"/>
                <w:lang w:eastAsia="en-AU"/>
              </w:rPr>
              <w:t>16.0%</w:t>
            </w:r>
          </w:p>
        </w:tc>
      </w:tr>
      <w:tr w:rsidR="000921A7" w:rsidRPr="006F169C" w:rsidTr="006E40C6">
        <w:trPr>
          <w:trHeight w:val="320"/>
        </w:trPr>
        <w:tc>
          <w:tcPr>
            <w:tcW w:w="4962" w:type="dxa"/>
            <w:shd w:val="clear" w:color="auto" w:fill="auto"/>
            <w:tcMar>
              <w:top w:w="15" w:type="dxa"/>
              <w:left w:w="60" w:type="dxa"/>
              <w:bottom w:w="15" w:type="dxa"/>
              <w:right w:w="6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color w:val="000000"/>
                <w:sz w:val="20"/>
                <w:szCs w:val="20"/>
                <w:lang w:eastAsia="en-AU"/>
              </w:rPr>
              <w:t>Total</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color w:val="000000"/>
                <w:sz w:val="18"/>
                <w:szCs w:val="18"/>
                <w:lang w:eastAsia="en-AU"/>
              </w:rPr>
              <w:t>120,996</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color w:val="000000"/>
                <w:sz w:val="18"/>
                <w:szCs w:val="18"/>
                <w:lang w:eastAsia="en-AU"/>
              </w:rPr>
              <w:t>4,447</w:t>
            </w:r>
          </w:p>
        </w:tc>
        <w:tc>
          <w:tcPr>
            <w:tcW w:w="2753" w:type="dxa"/>
            <w:shd w:val="clear" w:color="auto" w:fill="auto"/>
            <w:tcMar>
              <w:top w:w="15" w:type="dxa"/>
              <w:left w:w="60" w:type="dxa"/>
              <w:bottom w:w="15" w:type="dxa"/>
              <w:right w:w="60" w:type="dxa"/>
            </w:tcMar>
            <w:vAlign w:val="center"/>
            <w:hideMark/>
          </w:tcPr>
          <w:p w:rsidR="000921A7" w:rsidRPr="006F169C" w:rsidRDefault="000921A7" w:rsidP="00870C15">
            <w:pPr>
              <w:spacing w:after="0"/>
              <w:jc w:val="center"/>
              <w:rPr>
                <w:rFonts w:eastAsia="Times New Roman" w:cs="Arial"/>
                <w:sz w:val="18"/>
                <w:szCs w:val="18"/>
                <w:lang w:eastAsia="en-AU"/>
              </w:rPr>
            </w:pPr>
            <w:r w:rsidRPr="006F169C">
              <w:rPr>
                <w:rFonts w:eastAsia="Times New Roman" w:cs="Arial"/>
                <w:color w:val="000000"/>
                <w:sz w:val="18"/>
                <w:szCs w:val="18"/>
                <w:lang w:eastAsia="en-AU"/>
              </w:rPr>
              <w:t>3.7%</w:t>
            </w:r>
          </w:p>
        </w:tc>
      </w:tr>
    </w:tbl>
    <w:p w:rsidR="006E40C6" w:rsidRPr="006F169C" w:rsidRDefault="006E40C6" w:rsidP="000921A7">
      <w:pPr>
        <w:pStyle w:val="AHPRAbody"/>
      </w:pPr>
    </w:p>
    <w:p w:rsidR="00FB75DE" w:rsidRPr="00753F4F" w:rsidRDefault="00FB75DE" w:rsidP="00FB75DE">
      <w:pPr>
        <w:pStyle w:val="AHPRAbody"/>
      </w:pPr>
      <w:r w:rsidRPr="00753F4F">
        <w:t xml:space="preserve">This </w:t>
      </w:r>
      <w:r>
        <w:t>table s</w:t>
      </w:r>
      <w:r w:rsidRPr="00753F4F">
        <w:t xml:space="preserve">hows the number of </w:t>
      </w:r>
      <w:r>
        <w:t xml:space="preserve">registered health practitioners </w:t>
      </w:r>
      <w:r w:rsidRPr="00753F4F">
        <w:t xml:space="preserve">in the </w:t>
      </w:r>
      <w:r>
        <w:t>N</w:t>
      </w:r>
      <w:r w:rsidRPr="00753F4F">
        <w:t xml:space="preserve">ational </w:t>
      </w:r>
      <w:r>
        <w:t>S</w:t>
      </w:r>
      <w:r w:rsidRPr="00753F4F">
        <w:t>cheme with a PPP of Queensland whose registration is limited by a condition, undertaking,</w:t>
      </w:r>
      <w:r>
        <w:t xml:space="preserve"> </w:t>
      </w:r>
      <w:r w:rsidRPr="00753F4F">
        <w:t xml:space="preserve">reprimand or registration requirement. </w:t>
      </w:r>
      <w:r>
        <w:t>This does not</w:t>
      </w:r>
      <w:r w:rsidRPr="00753F4F">
        <w:t xml:space="preserve"> differentiate between a condition imposed as a result of a notification (disciplinary</w:t>
      </w:r>
      <w:r>
        <w:t xml:space="preserve"> </w:t>
      </w:r>
      <w:r w:rsidRPr="00753F4F">
        <w:t xml:space="preserve">action) or as a result of a registration </w:t>
      </w:r>
      <w:r>
        <w:t>requirement (for example, international medical graduates with conditions requiring supervision, which is standard with a particular type of registration)</w:t>
      </w:r>
      <w:r w:rsidRPr="00753F4F">
        <w:t>.</w:t>
      </w:r>
    </w:p>
    <w:p w:rsidR="000921A7" w:rsidRPr="006F169C" w:rsidRDefault="000921A7">
      <w:pPr>
        <w:spacing w:after="0"/>
        <w:rPr>
          <w:rFonts w:cs="Arial"/>
        </w:rPr>
      </w:pPr>
      <w:r w:rsidRPr="006F169C">
        <w:rPr>
          <w:rFonts w:cs="Arial"/>
        </w:rPr>
        <w:br w:type="page"/>
      </w:r>
    </w:p>
    <w:p w:rsidR="000921A7" w:rsidRPr="006F169C" w:rsidRDefault="000921A7" w:rsidP="000921A7">
      <w:pPr>
        <w:pStyle w:val="AHPRADocumentsubheading"/>
      </w:pPr>
      <w:r w:rsidRPr="006F169C">
        <w:lastRenderedPageBreak/>
        <w:t>Number of registered practitioners with conditions or undertakings removed or altered</w:t>
      </w:r>
    </w:p>
    <w:p w:rsidR="000921A7" w:rsidRPr="006F169C" w:rsidRDefault="000921A7">
      <w:pPr>
        <w:spacing w:after="0"/>
        <w:rPr>
          <w:rFonts w:cs="Arial"/>
        </w:rPr>
      </w:pPr>
    </w:p>
    <w:tbl>
      <w:tblPr>
        <w:tblW w:w="5000" w:type="pct"/>
        <w:tblBorders>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72"/>
        <w:gridCol w:w="1758"/>
        <w:gridCol w:w="1758"/>
        <w:gridCol w:w="1758"/>
        <w:gridCol w:w="1758"/>
        <w:gridCol w:w="1755"/>
      </w:tblGrid>
      <w:tr w:rsidR="006E40C6" w:rsidRPr="006F169C" w:rsidTr="006E40C6">
        <w:trPr>
          <w:trHeight w:val="366"/>
        </w:trPr>
        <w:tc>
          <w:tcPr>
            <w:tcW w:w="1961" w:type="pct"/>
            <w:tcBorders>
              <w:bottom w:val="single" w:sz="2" w:space="0" w:color="auto"/>
            </w:tcBorders>
            <w:shd w:val="clear" w:color="auto" w:fill="auto"/>
            <w:vAlign w:val="center"/>
            <w:hideMark/>
          </w:tcPr>
          <w:p w:rsidR="000921A7" w:rsidRPr="006F169C" w:rsidRDefault="000921A7" w:rsidP="00870C15">
            <w:pPr>
              <w:spacing w:after="0"/>
              <w:rPr>
                <w:rFonts w:eastAsia="Times New Roman" w:cs="Arial"/>
                <w:bCs/>
                <w:color w:val="000000"/>
                <w:sz w:val="20"/>
                <w:szCs w:val="20"/>
                <w:lang w:eastAsia="en-AU"/>
              </w:rPr>
            </w:pPr>
            <w:r w:rsidRPr="006F169C">
              <w:rPr>
                <w:rFonts w:eastAsia="Times New Roman" w:cs="Arial"/>
                <w:bCs/>
                <w:color w:val="000000"/>
                <w:sz w:val="20"/>
                <w:szCs w:val="20"/>
                <w:lang w:eastAsia="en-AU"/>
              </w:rPr>
              <w:t>Monitoring and compliance decisions</w:t>
            </w:r>
          </w:p>
        </w:tc>
        <w:tc>
          <w:tcPr>
            <w:tcW w:w="608" w:type="pct"/>
            <w:tcBorders>
              <w:top w:val="single" w:sz="2" w:space="0" w:color="auto"/>
            </w:tcBorders>
            <w:shd w:val="clear" w:color="auto" w:fill="D9D9D9" w:themeFill="background1" w:themeFillShade="D9"/>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Q</w:t>
            </w:r>
            <w:r w:rsidR="006E40C6" w:rsidRPr="006F169C">
              <w:rPr>
                <w:rFonts w:eastAsia="Times New Roman" w:cs="Arial"/>
                <w:color w:val="000000"/>
                <w:sz w:val="18"/>
                <w:szCs w:val="18"/>
                <w:lang w:eastAsia="en-AU"/>
              </w:rPr>
              <w:t xml:space="preserve">uarter </w:t>
            </w:r>
            <w:r w:rsidRPr="006F169C">
              <w:rPr>
                <w:rFonts w:eastAsia="Times New Roman" w:cs="Arial"/>
                <w:color w:val="000000"/>
                <w:sz w:val="18"/>
                <w:szCs w:val="18"/>
                <w:lang w:eastAsia="en-AU"/>
              </w:rPr>
              <w:t>1</w:t>
            </w:r>
          </w:p>
        </w:tc>
        <w:tc>
          <w:tcPr>
            <w:tcW w:w="608" w:type="pct"/>
            <w:tcBorders>
              <w:top w:val="single" w:sz="2" w:space="0" w:color="auto"/>
            </w:tcBorders>
            <w:shd w:val="clear" w:color="auto" w:fill="D9D9D9" w:themeFill="background1" w:themeFillShade="D9"/>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Q</w:t>
            </w:r>
            <w:r w:rsidR="006E40C6" w:rsidRPr="006F169C">
              <w:rPr>
                <w:rFonts w:eastAsia="Times New Roman" w:cs="Arial"/>
                <w:color w:val="000000"/>
                <w:sz w:val="18"/>
                <w:szCs w:val="18"/>
                <w:lang w:eastAsia="en-AU"/>
              </w:rPr>
              <w:t xml:space="preserve">uarter </w:t>
            </w:r>
            <w:r w:rsidRPr="006F169C">
              <w:rPr>
                <w:rFonts w:eastAsia="Times New Roman" w:cs="Arial"/>
                <w:color w:val="000000"/>
                <w:sz w:val="18"/>
                <w:szCs w:val="18"/>
                <w:lang w:eastAsia="en-AU"/>
              </w:rPr>
              <w:t>2</w:t>
            </w:r>
          </w:p>
        </w:tc>
        <w:tc>
          <w:tcPr>
            <w:tcW w:w="608" w:type="pct"/>
            <w:tcBorders>
              <w:top w:val="single" w:sz="2" w:space="0" w:color="auto"/>
            </w:tcBorders>
            <w:shd w:val="clear" w:color="auto" w:fill="D9D9D9" w:themeFill="background1" w:themeFillShade="D9"/>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Q</w:t>
            </w:r>
            <w:r w:rsidR="006E40C6" w:rsidRPr="006F169C">
              <w:rPr>
                <w:rFonts w:eastAsia="Times New Roman" w:cs="Arial"/>
                <w:color w:val="000000"/>
                <w:sz w:val="18"/>
                <w:szCs w:val="18"/>
                <w:lang w:eastAsia="en-AU"/>
              </w:rPr>
              <w:t xml:space="preserve">uarter </w:t>
            </w:r>
            <w:r w:rsidRPr="006F169C">
              <w:rPr>
                <w:rFonts w:eastAsia="Times New Roman" w:cs="Arial"/>
                <w:color w:val="000000"/>
                <w:sz w:val="18"/>
                <w:szCs w:val="18"/>
                <w:lang w:eastAsia="en-AU"/>
              </w:rPr>
              <w:t>3</w:t>
            </w:r>
          </w:p>
        </w:tc>
        <w:tc>
          <w:tcPr>
            <w:tcW w:w="608" w:type="pct"/>
            <w:tcBorders>
              <w:top w:val="single" w:sz="2" w:space="0" w:color="auto"/>
            </w:tcBorders>
            <w:shd w:val="clear" w:color="auto" w:fill="D9D9D9" w:themeFill="background1" w:themeFillShade="D9"/>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Q</w:t>
            </w:r>
            <w:r w:rsidR="006E40C6" w:rsidRPr="006F169C">
              <w:rPr>
                <w:rFonts w:eastAsia="Times New Roman" w:cs="Arial"/>
                <w:color w:val="000000"/>
                <w:sz w:val="18"/>
                <w:szCs w:val="18"/>
                <w:lang w:eastAsia="en-AU"/>
              </w:rPr>
              <w:t xml:space="preserve">uarter </w:t>
            </w:r>
            <w:r w:rsidRPr="006F169C">
              <w:rPr>
                <w:rFonts w:eastAsia="Times New Roman" w:cs="Arial"/>
                <w:color w:val="000000"/>
                <w:sz w:val="18"/>
                <w:szCs w:val="18"/>
                <w:lang w:eastAsia="en-AU"/>
              </w:rPr>
              <w:t>4</w:t>
            </w:r>
          </w:p>
        </w:tc>
        <w:tc>
          <w:tcPr>
            <w:tcW w:w="608" w:type="pct"/>
            <w:tcBorders>
              <w:top w:val="single" w:sz="2" w:space="0" w:color="auto"/>
            </w:tcBorders>
            <w:shd w:val="clear" w:color="auto" w:fill="D9D9D9" w:themeFill="background1" w:themeFillShade="D9"/>
            <w:vAlign w:val="center"/>
            <w:hideMark/>
          </w:tcPr>
          <w:p w:rsidR="000921A7" w:rsidRPr="006F169C" w:rsidRDefault="000921A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Total</w:t>
            </w:r>
          </w:p>
        </w:tc>
      </w:tr>
      <w:tr w:rsidR="006E40C6" w:rsidRPr="006F169C" w:rsidTr="006E40C6">
        <w:trPr>
          <w:trHeight w:val="64"/>
        </w:trPr>
        <w:tc>
          <w:tcPr>
            <w:tcW w:w="1961" w:type="pct"/>
            <w:tcBorders>
              <w:top w:val="single" w:sz="2" w:space="0" w:color="auto"/>
              <w:left w:val="single" w:sz="2" w:space="0" w:color="auto"/>
            </w:tcBorders>
            <w:shd w:val="clear" w:color="auto" w:fill="auto"/>
            <w:tcMar>
              <w:top w:w="60" w:type="dxa"/>
              <w:left w:w="150" w:type="dxa"/>
              <w:bottom w:w="60" w:type="dxa"/>
              <w:right w:w="15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Grant application, section125</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21</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36</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34</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 </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color w:val="000000"/>
                <w:sz w:val="18"/>
                <w:szCs w:val="20"/>
                <w:lang w:eastAsia="en-AU"/>
              </w:rPr>
            </w:pPr>
            <w:r w:rsidRPr="006F169C">
              <w:rPr>
                <w:rFonts w:eastAsia="Times New Roman" w:cs="Arial"/>
                <w:color w:val="000000"/>
                <w:sz w:val="18"/>
                <w:szCs w:val="20"/>
                <w:lang w:eastAsia="en-AU"/>
              </w:rPr>
              <w:t>91</w:t>
            </w:r>
          </w:p>
        </w:tc>
      </w:tr>
      <w:tr w:rsidR="006E40C6" w:rsidRPr="006F169C" w:rsidTr="006E40C6">
        <w:trPr>
          <w:trHeight w:val="30"/>
        </w:trPr>
        <w:tc>
          <w:tcPr>
            <w:tcW w:w="1961" w:type="pct"/>
            <w:tcBorders>
              <w:top w:val="single" w:sz="2" w:space="0" w:color="auto"/>
              <w:left w:val="single" w:sz="2" w:space="0" w:color="auto"/>
            </w:tcBorders>
            <w:shd w:val="clear" w:color="auto" w:fill="auto"/>
            <w:tcMar>
              <w:top w:w="60" w:type="dxa"/>
              <w:left w:w="150" w:type="dxa"/>
              <w:bottom w:w="60" w:type="dxa"/>
              <w:right w:w="15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Refuse to grant application, section125</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4</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4</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8</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 </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color w:val="000000"/>
                <w:sz w:val="18"/>
                <w:szCs w:val="20"/>
                <w:lang w:eastAsia="en-AU"/>
              </w:rPr>
            </w:pPr>
            <w:r w:rsidRPr="006F169C">
              <w:rPr>
                <w:rFonts w:eastAsia="Times New Roman" w:cs="Arial"/>
                <w:color w:val="000000"/>
                <w:sz w:val="18"/>
                <w:szCs w:val="20"/>
                <w:lang w:eastAsia="en-AU"/>
              </w:rPr>
              <w:t>16</w:t>
            </w:r>
          </w:p>
        </w:tc>
      </w:tr>
      <w:tr w:rsidR="006E40C6" w:rsidRPr="006F169C" w:rsidTr="006E40C6">
        <w:trPr>
          <w:trHeight w:val="46"/>
        </w:trPr>
        <w:tc>
          <w:tcPr>
            <w:tcW w:w="1961" w:type="pct"/>
            <w:tcBorders>
              <w:top w:val="single" w:sz="2" w:space="0" w:color="auto"/>
              <w:left w:val="single" w:sz="2" w:space="0" w:color="auto"/>
            </w:tcBorders>
            <w:shd w:val="clear" w:color="auto" w:fill="auto"/>
            <w:tcMar>
              <w:top w:w="60" w:type="dxa"/>
              <w:left w:w="150" w:type="dxa"/>
              <w:bottom w:w="60" w:type="dxa"/>
              <w:right w:w="15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Change condition, section126</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7</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4</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4</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 </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color w:val="000000"/>
                <w:sz w:val="18"/>
                <w:szCs w:val="20"/>
                <w:lang w:eastAsia="en-AU"/>
              </w:rPr>
            </w:pPr>
            <w:r w:rsidRPr="006F169C">
              <w:rPr>
                <w:rFonts w:eastAsia="Times New Roman" w:cs="Arial"/>
                <w:color w:val="000000"/>
                <w:sz w:val="18"/>
                <w:szCs w:val="20"/>
                <w:lang w:eastAsia="en-AU"/>
              </w:rPr>
              <w:t>15</w:t>
            </w:r>
          </w:p>
        </w:tc>
      </w:tr>
      <w:tr w:rsidR="006E40C6" w:rsidRPr="006F169C" w:rsidTr="006E40C6">
        <w:trPr>
          <w:trHeight w:val="30"/>
        </w:trPr>
        <w:tc>
          <w:tcPr>
            <w:tcW w:w="1961" w:type="pct"/>
            <w:tcBorders>
              <w:top w:val="single" w:sz="2" w:space="0" w:color="auto"/>
              <w:left w:val="single" w:sz="2" w:space="0" w:color="auto"/>
            </w:tcBorders>
            <w:shd w:val="clear" w:color="auto" w:fill="auto"/>
            <w:tcMar>
              <w:top w:w="60" w:type="dxa"/>
              <w:left w:w="150" w:type="dxa"/>
              <w:bottom w:w="60" w:type="dxa"/>
              <w:right w:w="15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Remove condition/Revoke undertaking, section127</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43</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34</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31</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 </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color w:val="000000"/>
                <w:sz w:val="18"/>
                <w:szCs w:val="20"/>
                <w:lang w:eastAsia="en-AU"/>
              </w:rPr>
            </w:pPr>
            <w:r w:rsidRPr="006F169C">
              <w:rPr>
                <w:rFonts w:eastAsia="Times New Roman" w:cs="Arial"/>
                <w:color w:val="000000"/>
                <w:sz w:val="18"/>
                <w:szCs w:val="20"/>
                <w:lang w:eastAsia="en-AU"/>
              </w:rPr>
              <w:t>108</w:t>
            </w:r>
          </w:p>
        </w:tc>
      </w:tr>
      <w:tr w:rsidR="006E40C6" w:rsidRPr="006F169C" w:rsidTr="006E40C6">
        <w:trPr>
          <w:trHeight w:val="30"/>
        </w:trPr>
        <w:tc>
          <w:tcPr>
            <w:tcW w:w="1961" w:type="pct"/>
            <w:tcBorders>
              <w:top w:val="single" w:sz="2" w:space="0" w:color="auto"/>
              <w:left w:val="single" w:sz="2" w:space="0" w:color="auto"/>
            </w:tcBorders>
            <w:shd w:val="clear" w:color="auto" w:fill="auto"/>
            <w:tcMar>
              <w:top w:w="60" w:type="dxa"/>
              <w:left w:w="150" w:type="dxa"/>
              <w:bottom w:w="60" w:type="dxa"/>
              <w:right w:w="150" w:type="dxa"/>
            </w:tcMar>
            <w:vAlign w:val="center"/>
            <w:hideMark/>
          </w:tcPr>
          <w:p w:rsidR="000921A7" w:rsidRPr="006F169C" w:rsidRDefault="000921A7" w:rsidP="00870C15">
            <w:pPr>
              <w:spacing w:after="0"/>
              <w:rPr>
                <w:rFonts w:eastAsia="Times New Roman" w:cs="Arial"/>
                <w:sz w:val="20"/>
                <w:szCs w:val="20"/>
                <w:lang w:eastAsia="en-AU"/>
              </w:rPr>
            </w:pPr>
            <w:r w:rsidRPr="006F169C">
              <w:rPr>
                <w:rFonts w:eastAsia="Times New Roman" w:cs="Arial"/>
                <w:sz w:val="20"/>
                <w:szCs w:val="20"/>
                <w:lang w:eastAsia="en-AU"/>
              </w:rPr>
              <w:t>Decide not to change condition after submission, section126(5)</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 0</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0</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0</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 </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sz w:val="18"/>
                <w:szCs w:val="20"/>
                <w:lang w:eastAsia="en-AU"/>
              </w:rPr>
            </w:pPr>
            <w:r w:rsidRPr="006F169C">
              <w:rPr>
                <w:rFonts w:eastAsia="Times New Roman" w:cs="Arial"/>
                <w:sz w:val="18"/>
                <w:szCs w:val="20"/>
                <w:lang w:eastAsia="en-AU"/>
              </w:rPr>
              <w:t>0</w:t>
            </w:r>
          </w:p>
        </w:tc>
      </w:tr>
      <w:tr w:rsidR="006E40C6" w:rsidRPr="006F169C" w:rsidTr="006E40C6">
        <w:trPr>
          <w:trHeight w:val="30"/>
        </w:trPr>
        <w:tc>
          <w:tcPr>
            <w:tcW w:w="1961" w:type="pct"/>
            <w:tcBorders>
              <w:top w:val="single" w:sz="2" w:space="0" w:color="auto"/>
              <w:left w:val="single" w:sz="2" w:space="0" w:color="auto"/>
            </w:tcBorders>
            <w:shd w:val="clear" w:color="auto" w:fill="auto"/>
            <w:vAlign w:val="center"/>
            <w:hideMark/>
          </w:tcPr>
          <w:p w:rsidR="000921A7" w:rsidRPr="006F169C" w:rsidRDefault="000921A7" w:rsidP="00870C15">
            <w:pPr>
              <w:spacing w:after="0"/>
              <w:rPr>
                <w:rFonts w:eastAsia="Times New Roman" w:cs="Arial"/>
                <w:bCs/>
                <w:color w:val="000000"/>
                <w:sz w:val="20"/>
                <w:szCs w:val="20"/>
                <w:lang w:eastAsia="en-AU"/>
              </w:rPr>
            </w:pPr>
            <w:r w:rsidRPr="006F169C">
              <w:rPr>
                <w:rFonts w:eastAsia="Times New Roman" w:cs="Arial"/>
                <w:bCs/>
                <w:color w:val="000000"/>
                <w:sz w:val="20"/>
                <w:szCs w:val="20"/>
                <w:lang w:eastAsia="en-AU"/>
              </w:rPr>
              <w:t xml:space="preserve"> Total</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color w:val="000000"/>
                <w:sz w:val="18"/>
                <w:szCs w:val="20"/>
                <w:lang w:eastAsia="en-AU"/>
              </w:rPr>
            </w:pPr>
            <w:r w:rsidRPr="006F169C">
              <w:rPr>
                <w:rFonts w:eastAsia="Times New Roman" w:cs="Arial"/>
                <w:color w:val="000000"/>
                <w:sz w:val="18"/>
                <w:szCs w:val="20"/>
                <w:lang w:eastAsia="en-AU"/>
              </w:rPr>
              <w:t>75</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color w:val="000000"/>
                <w:sz w:val="18"/>
                <w:szCs w:val="20"/>
                <w:lang w:eastAsia="en-AU"/>
              </w:rPr>
            </w:pPr>
            <w:r w:rsidRPr="006F169C">
              <w:rPr>
                <w:rFonts w:eastAsia="Times New Roman" w:cs="Arial"/>
                <w:color w:val="000000"/>
                <w:sz w:val="18"/>
                <w:szCs w:val="20"/>
                <w:lang w:eastAsia="en-AU"/>
              </w:rPr>
              <w:t>78</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color w:val="000000"/>
                <w:sz w:val="18"/>
                <w:szCs w:val="20"/>
                <w:lang w:eastAsia="en-AU"/>
              </w:rPr>
            </w:pPr>
            <w:r w:rsidRPr="006F169C">
              <w:rPr>
                <w:rFonts w:eastAsia="Times New Roman" w:cs="Arial"/>
                <w:color w:val="000000"/>
                <w:sz w:val="18"/>
                <w:szCs w:val="20"/>
                <w:lang w:eastAsia="en-AU"/>
              </w:rPr>
              <w:t>77</w:t>
            </w: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rPr>
                <w:rFonts w:eastAsia="Times New Roman" w:cs="Arial"/>
                <w:color w:val="000000"/>
                <w:sz w:val="18"/>
                <w:szCs w:val="20"/>
                <w:lang w:eastAsia="en-AU"/>
              </w:rPr>
            </w:pPr>
          </w:p>
        </w:tc>
        <w:tc>
          <w:tcPr>
            <w:tcW w:w="608" w:type="pct"/>
            <w:shd w:val="clear" w:color="auto" w:fill="auto"/>
            <w:tcMar>
              <w:top w:w="60" w:type="dxa"/>
              <w:left w:w="150" w:type="dxa"/>
              <w:bottom w:w="60" w:type="dxa"/>
              <w:right w:w="150" w:type="dxa"/>
            </w:tcMar>
            <w:vAlign w:val="center"/>
            <w:hideMark/>
          </w:tcPr>
          <w:p w:rsidR="000921A7" w:rsidRPr="006F169C" w:rsidRDefault="000921A7" w:rsidP="00870C15">
            <w:pPr>
              <w:spacing w:after="0"/>
              <w:jc w:val="center"/>
              <w:rPr>
                <w:rFonts w:eastAsia="Times New Roman" w:cs="Arial"/>
                <w:color w:val="000000"/>
                <w:sz w:val="18"/>
                <w:szCs w:val="20"/>
                <w:lang w:eastAsia="en-AU"/>
              </w:rPr>
            </w:pPr>
            <w:r w:rsidRPr="006F169C">
              <w:rPr>
                <w:rFonts w:eastAsia="Times New Roman" w:cs="Arial"/>
                <w:color w:val="000000"/>
                <w:sz w:val="18"/>
                <w:szCs w:val="20"/>
                <w:lang w:eastAsia="en-AU"/>
              </w:rPr>
              <w:t>230</w:t>
            </w:r>
          </w:p>
        </w:tc>
      </w:tr>
    </w:tbl>
    <w:p w:rsidR="006E40C6" w:rsidRPr="006F169C" w:rsidRDefault="006E40C6" w:rsidP="000921A7">
      <w:pPr>
        <w:pStyle w:val="AHPRAbody"/>
      </w:pPr>
    </w:p>
    <w:p w:rsidR="00FB75DE" w:rsidRPr="00F129B0" w:rsidRDefault="00FB75DE" w:rsidP="00FB75DE">
      <w:pPr>
        <w:pStyle w:val="AHPRAbody"/>
      </w:pPr>
      <w:r>
        <w:t>This table shows the number of decisions made by a National Board or their relevant delegate about a registered practitioner with a PPP of Queensland under sections 125, 126 or 127 of the Health Practitioner Regulation National Law, as in force in each state and territory (the National Law), by quarter. These sections of the National Law enable a Board to remove or review conditions and undertakings that apply to a practitioner’s registration, either because of an application by the practitioner or at the Board’s instigation. New conditions imposed each quarter are detailed in the following tables and graphs.</w:t>
      </w:r>
    </w:p>
    <w:p w:rsidR="000921A7" w:rsidRPr="006F169C" w:rsidRDefault="000921A7">
      <w:pPr>
        <w:spacing w:after="0"/>
        <w:rPr>
          <w:rFonts w:cs="Arial"/>
        </w:rPr>
      </w:pPr>
      <w:r w:rsidRPr="006F169C">
        <w:rPr>
          <w:rFonts w:cs="Arial"/>
        </w:rPr>
        <w:br w:type="page"/>
      </w:r>
    </w:p>
    <w:p w:rsidR="000921A7" w:rsidRPr="006F169C" w:rsidRDefault="000921A7" w:rsidP="000921A7">
      <w:pPr>
        <w:pStyle w:val="AHPRADocumentsubheading"/>
      </w:pPr>
      <w:r w:rsidRPr="006F169C">
        <w:lastRenderedPageBreak/>
        <w:t>Number of registered practitioners cancelled</w:t>
      </w:r>
    </w:p>
    <w:p w:rsidR="000921A7" w:rsidRPr="006F169C" w:rsidRDefault="000921A7">
      <w:pPr>
        <w:spacing w:after="0"/>
        <w:rPr>
          <w:rFonts w:cs="Arial"/>
        </w:rPr>
      </w:pPr>
    </w:p>
    <w:tbl>
      <w:tblPr>
        <w:tblW w:w="13660" w:type="dxa"/>
        <w:tblInd w:w="113" w:type="dxa"/>
        <w:tblLayout w:type="fixed"/>
        <w:tblLook w:val="04A0" w:firstRow="1" w:lastRow="0" w:firstColumn="1" w:lastColumn="0" w:noHBand="0" w:noVBand="1"/>
      </w:tblPr>
      <w:tblGrid>
        <w:gridCol w:w="3539"/>
        <w:gridCol w:w="2530"/>
        <w:gridCol w:w="2530"/>
        <w:gridCol w:w="2530"/>
        <w:gridCol w:w="2531"/>
      </w:tblGrid>
      <w:tr w:rsidR="006E40C6" w:rsidRPr="006E40C6" w:rsidTr="00CD74A9">
        <w:trPr>
          <w:trHeight w:val="315"/>
        </w:trPr>
        <w:tc>
          <w:tcPr>
            <w:tcW w:w="3539" w:type="dxa"/>
            <w:tcBorders>
              <w:bottom w:val="single" w:sz="4" w:space="0" w:color="auto"/>
              <w:right w:val="single" w:sz="4" w:space="0" w:color="auto"/>
            </w:tcBorders>
            <w:shd w:val="clear" w:color="auto" w:fill="auto"/>
            <w:noWrap/>
            <w:vAlign w:val="center"/>
            <w:hideMark/>
          </w:tcPr>
          <w:p w:rsidR="006E40C6" w:rsidRPr="006E40C6" w:rsidRDefault="006E40C6" w:rsidP="006E40C6">
            <w:pPr>
              <w:spacing w:after="0"/>
              <w:rPr>
                <w:rFonts w:eastAsia="Times New Roman" w:cs="Arial"/>
                <w:color w:val="000000"/>
                <w:sz w:val="22"/>
                <w:szCs w:val="22"/>
                <w:lang w:eastAsia="en-AU"/>
              </w:rPr>
            </w:pPr>
            <w:r w:rsidRPr="006E40C6">
              <w:rPr>
                <w:rFonts w:eastAsia="Times New Roman" w:cs="Arial"/>
                <w:color w:val="000000"/>
                <w:sz w:val="22"/>
                <w:szCs w:val="22"/>
                <w:lang w:eastAsia="en-AU"/>
              </w:rPr>
              <w:t> </w:t>
            </w:r>
          </w:p>
        </w:tc>
        <w:tc>
          <w:tcPr>
            <w:tcW w:w="2530" w:type="dxa"/>
            <w:tcBorders>
              <w:top w:val="single" w:sz="4" w:space="0" w:color="auto"/>
              <w:left w:val="nil"/>
              <w:bottom w:val="single" w:sz="4" w:space="0" w:color="auto"/>
              <w:right w:val="single" w:sz="4" w:space="0" w:color="000000"/>
            </w:tcBorders>
            <w:shd w:val="clear" w:color="000000" w:fill="D9D9D9"/>
            <w:noWrap/>
            <w:vAlign w:val="center"/>
            <w:hideMark/>
          </w:tcPr>
          <w:p w:rsidR="006E40C6" w:rsidRPr="006E40C6" w:rsidRDefault="006E40C6" w:rsidP="006E40C6">
            <w:pPr>
              <w:spacing w:after="0"/>
              <w:jc w:val="center"/>
              <w:rPr>
                <w:rFonts w:eastAsia="Times New Roman" w:cs="Arial"/>
                <w:color w:val="000000"/>
                <w:sz w:val="18"/>
                <w:szCs w:val="18"/>
                <w:lang w:eastAsia="en-AU"/>
              </w:rPr>
            </w:pPr>
            <w:r w:rsidRPr="006E40C6">
              <w:rPr>
                <w:rFonts w:eastAsia="Times New Roman" w:cs="Arial"/>
                <w:color w:val="000000"/>
                <w:sz w:val="18"/>
                <w:szCs w:val="18"/>
                <w:lang w:eastAsia="en-AU"/>
              </w:rPr>
              <w:t>Quarter 1</w:t>
            </w:r>
          </w:p>
        </w:tc>
        <w:tc>
          <w:tcPr>
            <w:tcW w:w="2530" w:type="dxa"/>
            <w:tcBorders>
              <w:top w:val="single" w:sz="4" w:space="0" w:color="auto"/>
              <w:left w:val="nil"/>
              <w:bottom w:val="single" w:sz="4" w:space="0" w:color="auto"/>
              <w:right w:val="single" w:sz="4" w:space="0" w:color="000000"/>
            </w:tcBorders>
            <w:shd w:val="clear" w:color="000000" w:fill="D9D9D9"/>
            <w:noWrap/>
            <w:vAlign w:val="center"/>
            <w:hideMark/>
          </w:tcPr>
          <w:p w:rsidR="006E40C6" w:rsidRPr="006E40C6" w:rsidRDefault="006E40C6" w:rsidP="006E40C6">
            <w:pPr>
              <w:spacing w:after="0"/>
              <w:jc w:val="center"/>
              <w:rPr>
                <w:rFonts w:eastAsia="Times New Roman" w:cs="Arial"/>
                <w:color w:val="000000"/>
                <w:sz w:val="18"/>
                <w:szCs w:val="18"/>
                <w:lang w:eastAsia="en-AU"/>
              </w:rPr>
            </w:pPr>
            <w:r w:rsidRPr="006E40C6">
              <w:rPr>
                <w:rFonts w:eastAsia="Times New Roman" w:cs="Arial"/>
                <w:color w:val="000000"/>
                <w:sz w:val="18"/>
                <w:szCs w:val="18"/>
                <w:lang w:eastAsia="en-AU"/>
              </w:rPr>
              <w:t>Quarter 2</w:t>
            </w:r>
          </w:p>
        </w:tc>
        <w:tc>
          <w:tcPr>
            <w:tcW w:w="2530" w:type="dxa"/>
            <w:tcBorders>
              <w:top w:val="single" w:sz="4" w:space="0" w:color="auto"/>
              <w:left w:val="nil"/>
              <w:bottom w:val="single" w:sz="4" w:space="0" w:color="auto"/>
              <w:right w:val="single" w:sz="4" w:space="0" w:color="000000"/>
            </w:tcBorders>
            <w:shd w:val="clear" w:color="000000" w:fill="D9D9D9"/>
            <w:noWrap/>
            <w:vAlign w:val="center"/>
            <w:hideMark/>
          </w:tcPr>
          <w:p w:rsidR="006E40C6" w:rsidRPr="006E40C6" w:rsidRDefault="006E40C6" w:rsidP="006E40C6">
            <w:pPr>
              <w:spacing w:after="0"/>
              <w:jc w:val="center"/>
              <w:rPr>
                <w:rFonts w:eastAsia="Times New Roman" w:cs="Arial"/>
                <w:color w:val="000000"/>
                <w:sz w:val="18"/>
                <w:szCs w:val="18"/>
                <w:lang w:eastAsia="en-AU"/>
              </w:rPr>
            </w:pPr>
            <w:r w:rsidRPr="006E40C6">
              <w:rPr>
                <w:rFonts w:eastAsia="Times New Roman" w:cs="Arial"/>
                <w:color w:val="000000"/>
                <w:sz w:val="18"/>
                <w:szCs w:val="18"/>
                <w:lang w:eastAsia="en-AU"/>
              </w:rPr>
              <w:t>Quarter 3</w:t>
            </w:r>
          </w:p>
        </w:tc>
        <w:tc>
          <w:tcPr>
            <w:tcW w:w="2531" w:type="dxa"/>
            <w:tcBorders>
              <w:top w:val="single" w:sz="4" w:space="0" w:color="auto"/>
              <w:left w:val="nil"/>
              <w:bottom w:val="single" w:sz="4" w:space="0" w:color="auto"/>
              <w:right w:val="single" w:sz="4" w:space="0" w:color="000000"/>
            </w:tcBorders>
            <w:shd w:val="clear" w:color="000000" w:fill="D9D9D9"/>
            <w:noWrap/>
            <w:vAlign w:val="center"/>
            <w:hideMark/>
          </w:tcPr>
          <w:p w:rsidR="006E40C6" w:rsidRPr="006E40C6" w:rsidRDefault="006E40C6" w:rsidP="006E40C6">
            <w:pPr>
              <w:spacing w:after="0"/>
              <w:jc w:val="center"/>
              <w:rPr>
                <w:rFonts w:eastAsia="Times New Roman" w:cs="Arial"/>
                <w:color w:val="000000"/>
                <w:sz w:val="18"/>
                <w:szCs w:val="18"/>
                <w:lang w:eastAsia="en-AU"/>
              </w:rPr>
            </w:pPr>
            <w:r w:rsidRPr="006E40C6">
              <w:rPr>
                <w:rFonts w:eastAsia="Times New Roman" w:cs="Arial"/>
                <w:color w:val="000000"/>
                <w:sz w:val="18"/>
                <w:szCs w:val="18"/>
                <w:lang w:eastAsia="en-AU"/>
              </w:rPr>
              <w:t>Quarter 4</w:t>
            </w:r>
          </w:p>
        </w:tc>
      </w:tr>
      <w:tr w:rsidR="006E40C6" w:rsidRPr="006E40C6" w:rsidTr="00CD74A9">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6E40C6" w:rsidRPr="006E40C6" w:rsidRDefault="006E40C6" w:rsidP="006E40C6">
            <w:pPr>
              <w:spacing w:after="0"/>
              <w:rPr>
                <w:rFonts w:eastAsia="Times New Roman" w:cs="Arial"/>
                <w:color w:val="000000"/>
                <w:sz w:val="20"/>
                <w:szCs w:val="20"/>
                <w:lang w:eastAsia="en-AU"/>
              </w:rPr>
            </w:pPr>
            <w:r w:rsidRPr="006E40C6">
              <w:rPr>
                <w:rFonts w:eastAsia="Times New Roman" w:cs="Arial"/>
                <w:color w:val="000000"/>
                <w:sz w:val="20"/>
                <w:szCs w:val="20"/>
                <w:lang w:eastAsia="en-AU"/>
              </w:rPr>
              <w:t>Cancelled registrations</w:t>
            </w:r>
          </w:p>
        </w:tc>
        <w:tc>
          <w:tcPr>
            <w:tcW w:w="2530" w:type="dxa"/>
            <w:tcBorders>
              <w:top w:val="single" w:sz="4" w:space="0" w:color="auto"/>
              <w:left w:val="nil"/>
              <w:bottom w:val="single" w:sz="4" w:space="0" w:color="auto"/>
              <w:right w:val="single" w:sz="4" w:space="0" w:color="000000"/>
            </w:tcBorders>
            <w:shd w:val="clear" w:color="auto" w:fill="auto"/>
            <w:noWrap/>
            <w:vAlign w:val="center"/>
            <w:hideMark/>
          </w:tcPr>
          <w:p w:rsidR="006E40C6" w:rsidRPr="006E40C6" w:rsidRDefault="006E40C6" w:rsidP="006E40C6">
            <w:pPr>
              <w:spacing w:after="0"/>
              <w:jc w:val="center"/>
              <w:rPr>
                <w:rFonts w:eastAsia="Times New Roman" w:cs="Arial"/>
                <w:color w:val="000000"/>
                <w:sz w:val="18"/>
                <w:szCs w:val="18"/>
                <w:lang w:eastAsia="en-AU"/>
              </w:rPr>
            </w:pPr>
            <w:r w:rsidRPr="006E40C6">
              <w:rPr>
                <w:rFonts w:eastAsia="Times New Roman" w:cs="Arial"/>
                <w:color w:val="000000"/>
                <w:sz w:val="18"/>
                <w:szCs w:val="18"/>
                <w:lang w:eastAsia="en-AU"/>
              </w:rPr>
              <w:t>0</w:t>
            </w:r>
          </w:p>
        </w:tc>
        <w:tc>
          <w:tcPr>
            <w:tcW w:w="2530" w:type="dxa"/>
            <w:tcBorders>
              <w:top w:val="single" w:sz="4" w:space="0" w:color="auto"/>
              <w:left w:val="nil"/>
              <w:bottom w:val="single" w:sz="4" w:space="0" w:color="auto"/>
              <w:right w:val="single" w:sz="4" w:space="0" w:color="000000"/>
            </w:tcBorders>
            <w:shd w:val="clear" w:color="auto" w:fill="auto"/>
            <w:noWrap/>
            <w:vAlign w:val="center"/>
            <w:hideMark/>
          </w:tcPr>
          <w:p w:rsidR="006E40C6" w:rsidRPr="006E40C6" w:rsidRDefault="006E40C6" w:rsidP="006E40C6">
            <w:pPr>
              <w:spacing w:after="0"/>
              <w:jc w:val="center"/>
              <w:rPr>
                <w:rFonts w:eastAsia="Times New Roman" w:cs="Arial"/>
                <w:color w:val="000000"/>
                <w:sz w:val="18"/>
                <w:szCs w:val="18"/>
                <w:lang w:eastAsia="en-AU"/>
              </w:rPr>
            </w:pPr>
            <w:r w:rsidRPr="006E40C6">
              <w:rPr>
                <w:rFonts w:eastAsia="Times New Roman" w:cs="Arial"/>
                <w:color w:val="000000"/>
                <w:sz w:val="18"/>
                <w:szCs w:val="18"/>
                <w:lang w:eastAsia="en-AU"/>
              </w:rPr>
              <w:t>0</w:t>
            </w:r>
          </w:p>
        </w:tc>
        <w:tc>
          <w:tcPr>
            <w:tcW w:w="2530" w:type="dxa"/>
            <w:tcBorders>
              <w:top w:val="single" w:sz="4" w:space="0" w:color="auto"/>
              <w:left w:val="nil"/>
              <w:bottom w:val="single" w:sz="4" w:space="0" w:color="auto"/>
              <w:right w:val="single" w:sz="4" w:space="0" w:color="000000"/>
            </w:tcBorders>
            <w:shd w:val="clear" w:color="auto" w:fill="auto"/>
            <w:noWrap/>
            <w:vAlign w:val="center"/>
            <w:hideMark/>
          </w:tcPr>
          <w:p w:rsidR="006E40C6" w:rsidRPr="006E40C6" w:rsidRDefault="006E40C6" w:rsidP="006E40C6">
            <w:pPr>
              <w:spacing w:after="0"/>
              <w:jc w:val="center"/>
              <w:rPr>
                <w:rFonts w:eastAsia="Times New Roman" w:cs="Arial"/>
                <w:color w:val="000000"/>
                <w:sz w:val="18"/>
                <w:szCs w:val="18"/>
                <w:lang w:eastAsia="en-AU"/>
              </w:rPr>
            </w:pPr>
            <w:r w:rsidRPr="006E40C6">
              <w:rPr>
                <w:rFonts w:eastAsia="Times New Roman" w:cs="Arial"/>
                <w:color w:val="000000"/>
                <w:sz w:val="18"/>
                <w:szCs w:val="18"/>
                <w:lang w:eastAsia="en-AU"/>
              </w:rPr>
              <w:t>0</w:t>
            </w:r>
          </w:p>
        </w:tc>
        <w:tc>
          <w:tcPr>
            <w:tcW w:w="2531" w:type="dxa"/>
            <w:tcBorders>
              <w:top w:val="single" w:sz="4" w:space="0" w:color="auto"/>
              <w:left w:val="nil"/>
              <w:bottom w:val="single" w:sz="4" w:space="0" w:color="auto"/>
              <w:right w:val="single" w:sz="4" w:space="0" w:color="000000"/>
            </w:tcBorders>
            <w:shd w:val="clear" w:color="auto" w:fill="auto"/>
            <w:noWrap/>
            <w:vAlign w:val="center"/>
            <w:hideMark/>
          </w:tcPr>
          <w:p w:rsidR="006E40C6" w:rsidRPr="006E40C6" w:rsidRDefault="006E40C6" w:rsidP="006E40C6">
            <w:pPr>
              <w:spacing w:after="0"/>
              <w:jc w:val="center"/>
              <w:rPr>
                <w:rFonts w:eastAsia="Times New Roman" w:cs="Arial"/>
                <w:color w:val="000000"/>
                <w:sz w:val="18"/>
                <w:szCs w:val="18"/>
                <w:lang w:eastAsia="en-AU"/>
              </w:rPr>
            </w:pPr>
          </w:p>
        </w:tc>
      </w:tr>
    </w:tbl>
    <w:p w:rsidR="000921A7" w:rsidRPr="006F169C" w:rsidRDefault="000921A7">
      <w:pPr>
        <w:spacing w:after="0"/>
        <w:rPr>
          <w:rFonts w:cs="Arial"/>
        </w:rPr>
      </w:pPr>
    </w:p>
    <w:p w:rsidR="00FB75DE" w:rsidRPr="000E7E28" w:rsidRDefault="00FB75DE" w:rsidP="00FB75DE">
      <w:pPr>
        <w:pStyle w:val="AHPRAbody"/>
      </w:pPr>
      <w:r>
        <w:t>This table shows the number of registered practitioners with a PPP of Queensland whose registration was cancelled. Note that in Queensland an order cancelling registration can only be made by the Queensland Civil and Administrative Tribunal, or other tribunals in other states and territories.</w:t>
      </w:r>
    </w:p>
    <w:p w:rsidR="000921A7" w:rsidRPr="006F169C" w:rsidRDefault="000921A7">
      <w:pPr>
        <w:spacing w:after="0"/>
        <w:rPr>
          <w:rFonts w:cs="Arial"/>
        </w:rPr>
      </w:pPr>
      <w:r w:rsidRPr="006F169C">
        <w:rPr>
          <w:rFonts w:cs="Arial"/>
        </w:rPr>
        <w:br w:type="page"/>
      </w:r>
    </w:p>
    <w:p w:rsidR="000921A7" w:rsidRPr="006F169C" w:rsidRDefault="000921A7" w:rsidP="000921A7">
      <w:pPr>
        <w:pStyle w:val="AHPRADocumentsubheading"/>
      </w:pPr>
      <w:r w:rsidRPr="006F169C">
        <w:lastRenderedPageBreak/>
        <w:t>National register (currency and completeness of practitioner registration status)</w:t>
      </w:r>
    </w:p>
    <w:p w:rsidR="00FB75DE" w:rsidRPr="001E52A5" w:rsidRDefault="00FB75DE" w:rsidP="00FB75DE">
      <w:pPr>
        <w:pStyle w:val="AHPRAbody"/>
        <w:rPr>
          <w:szCs w:val="20"/>
        </w:rPr>
      </w:pPr>
      <w:r w:rsidRPr="00126941">
        <w:rPr>
          <w:szCs w:val="20"/>
        </w:rPr>
        <w:t>The register of practitioners is accurate, up to date and is the only reliable source of information about the current registration status of all registered health practitioners in Australia.</w:t>
      </w:r>
    </w:p>
    <w:p w:rsidR="00FB75DE" w:rsidRPr="001E52A5" w:rsidRDefault="00FB75DE" w:rsidP="00FB75DE">
      <w:pPr>
        <w:pStyle w:val="AHPRAbody"/>
        <w:rPr>
          <w:szCs w:val="20"/>
        </w:rPr>
      </w:pPr>
      <w:r w:rsidRPr="00126941">
        <w:rPr>
          <w:szCs w:val="20"/>
        </w:rPr>
        <w:t>The register is updated hourly between 7am and 9pm.</w:t>
      </w:r>
    </w:p>
    <w:p w:rsidR="00FB75DE" w:rsidRPr="001E52A5" w:rsidRDefault="00FB75DE" w:rsidP="00FB75DE">
      <w:pPr>
        <w:pStyle w:val="AHPRAbody"/>
        <w:rPr>
          <w:szCs w:val="20"/>
        </w:rPr>
      </w:pPr>
      <w:r w:rsidRPr="00126941">
        <w:rPr>
          <w:color w:val="000000"/>
          <w:szCs w:val="20"/>
          <w:lang w:val="en-US"/>
        </w:rPr>
        <w:t>Changes made to the register in one hour are published at 10 minutes past the next hour.</w:t>
      </w:r>
    </w:p>
    <w:p w:rsidR="00FB75DE" w:rsidRPr="001E52A5" w:rsidRDefault="00CD655B" w:rsidP="00FB75DE">
      <w:pPr>
        <w:pStyle w:val="AHPRAbody"/>
        <w:rPr>
          <w:szCs w:val="20"/>
        </w:rPr>
      </w:pPr>
      <w:hyperlink r:id="rId8" w:history="1">
        <w:r w:rsidR="00FB75DE" w:rsidRPr="00126941">
          <w:rPr>
            <w:rStyle w:val="Hyperlink"/>
            <w:szCs w:val="20"/>
          </w:rPr>
          <w:t>Top tips about using the register are published online</w:t>
        </w:r>
      </w:hyperlink>
      <w:r w:rsidR="00FB75DE" w:rsidRPr="00126941">
        <w:rPr>
          <w:szCs w:val="20"/>
        </w:rPr>
        <w:t>.</w:t>
      </w:r>
    </w:p>
    <w:p w:rsidR="000921A7" w:rsidRPr="006F169C" w:rsidRDefault="000921A7">
      <w:pPr>
        <w:spacing w:after="0"/>
        <w:rPr>
          <w:rFonts w:cs="Arial"/>
        </w:rPr>
      </w:pPr>
      <w:r w:rsidRPr="006F169C">
        <w:rPr>
          <w:rFonts w:cs="Arial"/>
        </w:rPr>
        <w:br w:type="page"/>
      </w:r>
    </w:p>
    <w:p w:rsidR="000921A7" w:rsidRPr="006F169C" w:rsidRDefault="000921A7" w:rsidP="000921A7">
      <w:pPr>
        <w:pStyle w:val="AHPRADocumentsubheading"/>
      </w:pPr>
      <w:r w:rsidRPr="006F169C">
        <w:lastRenderedPageBreak/>
        <w:t>Number of notifications (referrals from the OHO)</w:t>
      </w:r>
    </w:p>
    <w:p w:rsidR="006F169C" w:rsidRPr="006F169C" w:rsidRDefault="006F169C" w:rsidP="006F169C">
      <w:pPr>
        <w:pStyle w:val="AHPRAbody"/>
      </w:pPr>
    </w:p>
    <w:tbl>
      <w:tblPr>
        <w:tblW w:w="0" w:type="auto"/>
        <w:tblCellSpacing w:w="0" w:type="dxa"/>
        <w:tblInd w:w="108" w:type="dxa"/>
        <w:tblLook w:val="04A0" w:firstRow="1" w:lastRow="0" w:firstColumn="1" w:lastColumn="0" w:noHBand="0" w:noVBand="1"/>
      </w:tblPr>
      <w:tblGrid>
        <w:gridCol w:w="14456"/>
      </w:tblGrid>
      <w:tr w:rsidR="000921A7" w:rsidRPr="006F169C" w:rsidTr="00870C15">
        <w:trPr>
          <w:trHeight w:val="5835"/>
          <w:tblCellSpacing w:w="0" w:type="dxa"/>
        </w:trPr>
        <w:tc>
          <w:tcPr>
            <w:tcW w:w="14456" w:type="dxa"/>
            <w:hideMark/>
          </w:tcPr>
          <w:p w:rsidR="00870C15" w:rsidRPr="006F169C" w:rsidRDefault="00870C15" w:rsidP="00870C15">
            <w:pPr>
              <w:rPr>
                <w:rFonts w:eastAsia="Times New Roman" w:cs="Arial"/>
              </w:rPr>
            </w:pPr>
            <w:r w:rsidRPr="006F169C">
              <w:rPr>
                <w:rFonts w:cs="Arial"/>
                <w:noProof/>
                <w:lang w:eastAsia="en-AU"/>
              </w:rPr>
              <w:drawing>
                <wp:inline distT="0" distB="0" distL="0" distR="0">
                  <wp:extent cx="9000000" cy="3060000"/>
                  <wp:effectExtent l="0" t="0" r="10795"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13660" w:type="dxa"/>
              <w:tblLook w:val="04A0" w:firstRow="1" w:lastRow="0" w:firstColumn="1" w:lastColumn="0" w:noHBand="0" w:noVBand="1"/>
            </w:tblPr>
            <w:tblGrid>
              <w:gridCol w:w="2140"/>
              <w:gridCol w:w="960"/>
              <w:gridCol w:w="960"/>
              <w:gridCol w:w="960"/>
              <w:gridCol w:w="960"/>
              <w:gridCol w:w="960"/>
              <w:gridCol w:w="960"/>
              <w:gridCol w:w="960"/>
              <w:gridCol w:w="960"/>
              <w:gridCol w:w="960"/>
              <w:gridCol w:w="960"/>
              <w:gridCol w:w="960"/>
              <w:gridCol w:w="960"/>
            </w:tblGrid>
            <w:tr w:rsidR="00870C15" w:rsidRPr="006F169C" w:rsidTr="006E40C6">
              <w:trPr>
                <w:trHeight w:val="315"/>
              </w:trPr>
              <w:tc>
                <w:tcPr>
                  <w:tcW w:w="2140" w:type="dxa"/>
                  <w:tcBorders>
                    <w:bottom w:val="single" w:sz="4" w:space="0" w:color="auto"/>
                    <w:right w:val="single" w:sz="4" w:space="0" w:color="auto"/>
                  </w:tcBorders>
                  <w:shd w:val="clear" w:color="auto" w:fill="auto"/>
                  <w:noWrap/>
                  <w:vAlign w:val="center"/>
                  <w:hideMark/>
                </w:tcPr>
                <w:p w:rsidR="00870C15" w:rsidRPr="006F169C" w:rsidRDefault="00870C15" w:rsidP="006E40C6">
                  <w:pPr>
                    <w:spacing w:after="0"/>
                    <w:rPr>
                      <w:rFonts w:eastAsia="Times New Roman" w:cs="Arial"/>
                      <w:color w:val="000000"/>
                      <w:sz w:val="20"/>
                      <w:szCs w:val="22"/>
                      <w:lang w:eastAsia="en-AU"/>
                    </w:rPr>
                  </w:pP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Jul</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Aug</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Sep</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Oct</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Nov</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Dec</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Jan</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Feb</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Mar</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Apr</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May</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Jun</w:t>
                  </w:r>
                </w:p>
              </w:tc>
            </w:tr>
            <w:tr w:rsidR="00870C15" w:rsidRPr="006F169C" w:rsidTr="006E40C6">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870C15" w:rsidRPr="006F169C" w:rsidRDefault="006E40C6" w:rsidP="006E40C6">
                  <w:pPr>
                    <w:spacing w:after="0"/>
                    <w:rPr>
                      <w:rFonts w:eastAsia="Times New Roman" w:cs="Arial"/>
                      <w:color w:val="000000"/>
                      <w:sz w:val="20"/>
                      <w:szCs w:val="22"/>
                      <w:lang w:eastAsia="en-AU"/>
                    </w:rPr>
                  </w:pPr>
                  <w:r w:rsidRPr="006F169C">
                    <w:rPr>
                      <w:rFonts w:eastAsia="Times New Roman" w:cs="Arial"/>
                      <w:color w:val="000000"/>
                      <w:sz w:val="20"/>
                      <w:szCs w:val="22"/>
                      <w:lang w:eastAsia="en-AU"/>
                    </w:rPr>
                    <w:t>New Notifications</w:t>
                  </w:r>
                </w:p>
              </w:tc>
              <w:tc>
                <w:tcPr>
                  <w:tcW w:w="960" w:type="dxa"/>
                  <w:tcBorders>
                    <w:top w:val="nil"/>
                    <w:left w:val="nil"/>
                    <w:bottom w:val="single" w:sz="4" w:space="0" w:color="auto"/>
                    <w:right w:val="single" w:sz="4" w:space="0" w:color="auto"/>
                  </w:tcBorders>
                  <w:shd w:val="clear" w:color="auto" w:fill="auto"/>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20</w:t>
                  </w:r>
                </w:p>
              </w:tc>
              <w:tc>
                <w:tcPr>
                  <w:tcW w:w="960" w:type="dxa"/>
                  <w:tcBorders>
                    <w:top w:val="nil"/>
                    <w:left w:val="nil"/>
                    <w:bottom w:val="single" w:sz="4" w:space="0" w:color="auto"/>
                    <w:right w:val="single" w:sz="4" w:space="0" w:color="auto"/>
                  </w:tcBorders>
                  <w:shd w:val="clear" w:color="auto" w:fill="auto"/>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46</w:t>
                  </w:r>
                </w:p>
              </w:tc>
              <w:tc>
                <w:tcPr>
                  <w:tcW w:w="960" w:type="dxa"/>
                  <w:tcBorders>
                    <w:top w:val="nil"/>
                    <w:left w:val="nil"/>
                    <w:bottom w:val="single" w:sz="4" w:space="0" w:color="auto"/>
                    <w:right w:val="single" w:sz="4" w:space="0" w:color="auto"/>
                  </w:tcBorders>
                  <w:shd w:val="clear" w:color="auto" w:fill="auto"/>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110</w:t>
                  </w:r>
                </w:p>
              </w:tc>
              <w:tc>
                <w:tcPr>
                  <w:tcW w:w="960" w:type="dxa"/>
                  <w:tcBorders>
                    <w:top w:val="nil"/>
                    <w:left w:val="nil"/>
                    <w:bottom w:val="single" w:sz="4" w:space="0" w:color="auto"/>
                    <w:right w:val="single" w:sz="4" w:space="0" w:color="auto"/>
                  </w:tcBorders>
                  <w:shd w:val="clear" w:color="auto" w:fill="auto"/>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68</w:t>
                  </w:r>
                </w:p>
              </w:tc>
              <w:tc>
                <w:tcPr>
                  <w:tcW w:w="960" w:type="dxa"/>
                  <w:tcBorders>
                    <w:top w:val="nil"/>
                    <w:left w:val="nil"/>
                    <w:bottom w:val="single" w:sz="4" w:space="0" w:color="auto"/>
                    <w:right w:val="single" w:sz="4" w:space="0" w:color="auto"/>
                  </w:tcBorders>
                  <w:shd w:val="clear" w:color="auto" w:fill="auto"/>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31</w:t>
                  </w:r>
                </w:p>
              </w:tc>
              <w:tc>
                <w:tcPr>
                  <w:tcW w:w="960" w:type="dxa"/>
                  <w:tcBorders>
                    <w:top w:val="nil"/>
                    <w:left w:val="nil"/>
                    <w:bottom w:val="single" w:sz="4" w:space="0" w:color="auto"/>
                    <w:right w:val="single" w:sz="4" w:space="0" w:color="auto"/>
                  </w:tcBorders>
                  <w:shd w:val="clear" w:color="auto" w:fill="auto"/>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46</w:t>
                  </w:r>
                </w:p>
              </w:tc>
              <w:tc>
                <w:tcPr>
                  <w:tcW w:w="960" w:type="dxa"/>
                  <w:tcBorders>
                    <w:top w:val="nil"/>
                    <w:left w:val="nil"/>
                    <w:bottom w:val="single" w:sz="4" w:space="0" w:color="auto"/>
                    <w:right w:val="single" w:sz="4" w:space="0" w:color="auto"/>
                  </w:tcBorders>
                  <w:shd w:val="clear" w:color="auto" w:fill="auto"/>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78</w:t>
                  </w:r>
                </w:p>
              </w:tc>
              <w:tc>
                <w:tcPr>
                  <w:tcW w:w="960" w:type="dxa"/>
                  <w:tcBorders>
                    <w:top w:val="nil"/>
                    <w:left w:val="nil"/>
                    <w:bottom w:val="single" w:sz="4" w:space="0" w:color="auto"/>
                    <w:right w:val="single" w:sz="4" w:space="0" w:color="auto"/>
                  </w:tcBorders>
                  <w:shd w:val="clear" w:color="auto" w:fill="auto"/>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88</w:t>
                  </w:r>
                </w:p>
              </w:tc>
              <w:tc>
                <w:tcPr>
                  <w:tcW w:w="960" w:type="dxa"/>
                  <w:tcBorders>
                    <w:top w:val="nil"/>
                    <w:left w:val="nil"/>
                    <w:bottom w:val="single" w:sz="4" w:space="0" w:color="auto"/>
                    <w:right w:val="single" w:sz="4" w:space="0" w:color="auto"/>
                  </w:tcBorders>
                  <w:shd w:val="clear" w:color="auto" w:fill="auto"/>
                  <w:noWrap/>
                  <w:vAlign w:val="center"/>
                  <w:hideMark/>
                </w:tcPr>
                <w:p w:rsidR="00870C15" w:rsidRPr="006F169C" w:rsidRDefault="00870C15" w:rsidP="006E40C6">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111</w:t>
                  </w:r>
                </w:p>
              </w:tc>
              <w:tc>
                <w:tcPr>
                  <w:tcW w:w="960" w:type="dxa"/>
                  <w:tcBorders>
                    <w:top w:val="nil"/>
                    <w:left w:val="nil"/>
                    <w:bottom w:val="single" w:sz="4" w:space="0" w:color="auto"/>
                    <w:right w:val="single" w:sz="4" w:space="0" w:color="auto"/>
                  </w:tcBorders>
                  <w:shd w:val="clear" w:color="auto" w:fill="auto"/>
                  <w:noWrap/>
                  <w:vAlign w:val="center"/>
                  <w:hideMark/>
                </w:tcPr>
                <w:p w:rsidR="00870C15" w:rsidRPr="006F169C" w:rsidRDefault="00870C15" w:rsidP="006E40C6">
                  <w:pPr>
                    <w:spacing w:after="0"/>
                    <w:jc w:val="center"/>
                    <w:rPr>
                      <w:rFonts w:eastAsia="Times New Roman" w:cs="Arial"/>
                      <w:color w:val="000000"/>
                      <w:sz w:val="18"/>
                      <w:szCs w:val="22"/>
                      <w:lang w:eastAsia="en-AU"/>
                    </w:rPr>
                  </w:pPr>
                </w:p>
              </w:tc>
              <w:tc>
                <w:tcPr>
                  <w:tcW w:w="960" w:type="dxa"/>
                  <w:tcBorders>
                    <w:top w:val="nil"/>
                    <w:left w:val="nil"/>
                    <w:bottom w:val="single" w:sz="4" w:space="0" w:color="auto"/>
                    <w:right w:val="single" w:sz="4" w:space="0" w:color="auto"/>
                  </w:tcBorders>
                  <w:shd w:val="clear" w:color="auto" w:fill="auto"/>
                  <w:noWrap/>
                  <w:vAlign w:val="center"/>
                  <w:hideMark/>
                </w:tcPr>
                <w:p w:rsidR="00870C15" w:rsidRPr="006F169C" w:rsidRDefault="00870C15" w:rsidP="006E40C6">
                  <w:pPr>
                    <w:spacing w:after="0"/>
                    <w:jc w:val="center"/>
                    <w:rPr>
                      <w:rFonts w:eastAsia="Times New Roman" w:cs="Arial"/>
                      <w:color w:val="000000"/>
                      <w:sz w:val="18"/>
                      <w:szCs w:val="22"/>
                      <w:lang w:eastAsia="en-AU"/>
                    </w:rPr>
                  </w:pPr>
                </w:p>
              </w:tc>
              <w:tc>
                <w:tcPr>
                  <w:tcW w:w="960" w:type="dxa"/>
                  <w:tcBorders>
                    <w:top w:val="nil"/>
                    <w:left w:val="nil"/>
                    <w:bottom w:val="single" w:sz="4" w:space="0" w:color="auto"/>
                    <w:right w:val="single" w:sz="4" w:space="0" w:color="auto"/>
                  </w:tcBorders>
                  <w:shd w:val="clear" w:color="auto" w:fill="auto"/>
                  <w:noWrap/>
                  <w:vAlign w:val="center"/>
                  <w:hideMark/>
                </w:tcPr>
                <w:p w:rsidR="00870C15" w:rsidRPr="006F169C" w:rsidRDefault="00870C15" w:rsidP="006E40C6">
                  <w:pPr>
                    <w:spacing w:after="0"/>
                    <w:jc w:val="center"/>
                    <w:rPr>
                      <w:rFonts w:eastAsia="Times New Roman" w:cs="Arial"/>
                      <w:color w:val="000000"/>
                      <w:sz w:val="18"/>
                      <w:szCs w:val="22"/>
                      <w:lang w:eastAsia="en-AU"/>
                    </w:rPr>
                  </w:pPr>
                </w:p>
              </w:tc>
            </w:tr>
          </w:tbl>
          <w:p w:rsidR="00870C15" w:rsidRPr="006F169C" w:rsidRDefault="00870C15" w:rsidP="00870C15">
            <w:pPr>
              <w:pStyle w:val="AHPRAbody"/>
            </w:pPr>
          </w:p>
          <w:p w:rsidR="000921A7" w:rsidRPr="006F169C" w:rsidRDefault="00FB75DE" w:rsidP="001C245F">
            <w:pPr>
              <w:pStyle w:val="AHPRAbody"/>
            </w:pPr>
            <w:r>
              <w:t xml:space="preserve">This graph </w:t>
            </w:r>
            <w:r w:rsidR="001C245F">
              <w:t xml:space="preserve">and table </w:t>
            </w:r>
            <w:r>
              <w:t xml:space="preserve">show the number of notifications about registered health practitioners referred under section 91 of the </w:t>
            </w:r>
            <w:r>
              <w:rPr>
                <w:i/>
                <w:iCs/>
              </w:rPr>
              <w:t xml:space="preserve">Health Ombudsman Act </w:t>
            </w:r>
            <w:r w:rsidRPr="003C6106">
              <w:rPr>
                <w:iCs/>
              </w:rPr>
              <w:t>2013</w:t>
            </w:r>
            <w:r>
              <w:rPr>
                <w:i/>
                <w:iCs/>
              </w:rPr>
              <w:t xml:space="preserve"> </w:t>
            </w:r>
            <w:r>
              <w:t>by the Office of the Health Ombudsman (OHO) to AHPRA each month.</w:t>
            </w:r>
          </w:p>
        </w:tc>
      </w:tr>
    </w:tbl>
    <w:p w:rsidR="000921A7" w:rsidRPr="006F169C" w:rsidRDefault="000921A7">
      <w:pPr>
        <w:spacing w:after="0"/>
        <w:rPr>
          <w:rFonts w:cs="Arial"/>
        </w:rPr>
      </w:pPr>
    </w:p>
    <w:p w:rsidR="000921A7" w:rsidRPr="006F169C" w:rsidRDefault="000921A7">
      <w:pPr>
        <w:rPr>
          <w:rFonts w:cs="Arial"/>
        </w:rPr>
      </w:pPr>
    </w:p>
    <w:tbl>
      <w:tblPr>
        <w:tblW w:w="0" w:type="auto"/>
        <w:tblCellSpacing w:w="7" w:type="dxa"/>
        <w:tblInd w:w="44" w:type="dxa"/>
        <w:tblLayout w:type="fixed"/>
        <w:tblCellMar>
          <w:top w:w="30" w:type="dxa"/>
          <w:left w:w="30" w:type="dxa"/>
          <w:bottom w:w="30" w:type="dxa"/>
          <w:right w:w="30" w:type="dxa"/>
        </w:tblCellMar>
        <w:tblLook w:val="04A0" w:firstRow="1" w:lastRow="0" w:firstColumn="1" w:lastColumn="0" w:noHBand="0" w:noVBand="1"/>
      </w:tblPr>
      <w:tblGrid>
        <w:gridCol w:w="14488"/>
      </w:tblGrid>
      <w:tr w:rsidR="00102429" w:rsidRPr="006F169C" w:rsidTr="00870C15">
        <w:trPr>
          <w:trHeight w:val="7190"/>
          <w:tblCellSpacing w:w="7" w:type="dxa"/>
        </w:trPr>
        <w:tc>
          <w:tcPr>
            <w:tcW w:w="14460" w:type="dxa"/>
            <w:vAlign w:val="center"/>
            <w:hideMark/>
          </w:tcPr>
          <w:tbl>
            <w:tblPr>
              <w:tblW w:w="14400" w:type="dxa"/>
              <w:tblCellSpacing w:w="0" w:type="dxa"/>
              <w:tblLayout w:type="fixed"/>
              <w:tblLook w:val="04A0" w:firstRow="1" w:lastRow="0" w:firstColumn="1" w:lastColumn="0" w:noHBand="0" w:noVBand="1"/>
            </w:tblPr>
            <w:tblGrid>
              <w:gridCol w:w="14400"/>
            </w:tblGrid>
            <w:tr w:rsidR="00102429" w:rsidRPr="006F169C" w:rsidTr="00870C15">
              <w:trPr>
                <w:trHeight w:val="3520"/>
                <w:tblCellSpacing w:w="0" w:type="dxa"/>
              </w:trPr>
              <w:tc>
                <w:tcPr>
                  <w:tcW w:w="14400" w:type="dxa"/>
                  <w:hideMark/>
                </w:tcPr>
                <w:p w:rsidR="00102429" w:rsidRPr="006F169C" w:rsidRDefault="00746FF5" w:rsidP="00C30E0B">
                  <w:pPr>
                    <w:pStyle w:val="AHPRADocumentsubheading"/>
                  </w:pPr>
                  <w:r w:rsidRPr="006F169C">
                    <w:rPr>
                      <w:color w:val="auto"/>
                      <w:sz w:val="24"/>
                      <w:szCs w:val="24"/>
                    </w:rPr>
                    <w:lastRenderedPageBreak/>
                    <w:br w:type="page"/>
                  </w:r>
                  <w:r w:rsidR="00C30E0B" w:rsidRPr="006F169C">
                    <w:t xml:space="preserve">Notifications </w:t>
                  </w:r>
                  <w:r w:rsidR="00DD0A50" w:rsidRPr="006F169C">
                    <w:t>c</w:t>
                  </w:r>
                  <w:r w:rsidR="00C30E0B" w:rsidRPr="006F169C">
                    <w:t>aseload by stage</w:t>
                  </w:r>
                </w:p>
                <w:p w:rsidR="00A20550" w:rsidRPr="006F169C" w:rsidRDefault="00A20550" w:rsidP="00A20550">
                  <w:pPr>
                    <w:rPr>
                      <w:rFonts w:cs="Arial"/>
                    </w:rPr>
                  </w:pPr>
                  <w:r w:rsidRPr="006F169C">
                    <w:rPr>
                      <w:rFonts w:cs="Arial"/>
                      <w:noProof/>
                      <w:lang w:eastAsia="en-AU"/>
                    </w:rPr>
                    <w:drawing>
                      <wp:inline distT="0" distB="0" distL="0" distR="0">
                        <wp:extent cx="9000000" cy="3060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F169C">
                    <w:rPr>
                      <w:rFonts w:cs="Arial"/>
                    </w:rPr>
                    <w:br/>
                  </w:r>
                </w:p>
                <w:tbl>
                  <w:tblPr>
                    <w:tblW w:w="14174" w:type="dxa"/>
                    <w:tblLayout w:type="fixed"/>
                    <w:tblLook w:val="04A0" w:firstRow="1" w:lastRow="0" w:firstColumn="1" w:lastColumn="0" w:noHBand="0" w:noVBand="1"/>
                  </w:tblPr>
                  <w:tblGrid>
                    <w:gridCol w:w="3917"/>
                    <w:gridCol w:w="854"/>
                    <w:gridCol w:w="855"/>
                    <w:gridCol w:w="855"/>
                    <w:gridCol w:w="855"/>
                    <w:gridCol w:w="854"/>
                    <w:gridCol w:w="855"/>
                    <w:gridCol w:w="855"/>
                    <w:gridCol w:w="855"/>
                    <w:gridCol w:w="854"/>
                    <w:gridCol w:w="855"/>
                    <w:gridCol w:w="855"/>
                    <w:gridCol w:w="855"/>
                  </w:tblGrid>
                  <w:tr w:rsidR="00A20550" w:rsidRPr="006F169C" w:rsidTr="00870C15">
                    <w:trPr>
                      <w:trHeight w:val="164"/>
                    </w:trPr>
                    <w:tc>
                      <w:tcPr>
                        <w:tcW w:w="3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rPr>
                            <w:rFonts w:eastAsia="Times New Roman" w:cs="Arial"/>
                            <w:bCs/>
                            <w:color w:val="000000"/>
                            <w:sz w:val="20"/>
                            <w:szCs w:val="20"/>
                            <w:lang w:val="en-US"/>
                          </w:rPr>
                        </w:pPr>
                      </w:p>
                    </w:tc>
                    <w:tc>
                      <w:tcPr>
                        <w:tcW w:w="85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Jul</w:t>
                        </w: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Aug</w:t>
                        </w: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Sep</w:t>
                        </w: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Oct</w:t>
                        </w:r>
                      </w:p>
                    </w:tc>
                    <w:tc>
                      <w:tcPr>
                        <w:tcW w:w="85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Nov</w:t>
                        </w: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Dec</w:t>
                        </w: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Jan</w:t>
                        </w: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Feb</w:t>
                        </w:r>
                      </w:p>
                    </w:tc>
                    <w:tc>
                      <w:tcPr>
                        <w:tcW w:w="85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Mar</w:t>
                        </w: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Apr</w:t>
                        </w: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May</w:t>
                        </w: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Jun</w:t>
                        </w:r>
                      </w:p>
                    </w:tc>
                  </w:tr>
                  <w:tr w:rsidR="00A20550" w:rsidRPr="006F169C" w:rsidTr="00870C15">
                    <w:trPr>
                      <w:trHeight w:val="164"/>
                    </w:trPr>
                    <w:tc>
                      <w:tcPr>
                        <w:tcW w:w="3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rPr>
                            <w:rFonts w:eastAsia="Times New Roman" w:cs="Arial"/>
                            <w:color w:val="000000"/>
                            <w:sz w:val="20"/>
                            <w:szCs w:val="20"/>
                            <w:lang w:val="en-US"/>
                          </w:rPr>
                        </w:pPr>
                        <w:r w:rsidRPr="006F169C">
                          <w:rPr>
                            <w:rFonts w:eastAsia="Times New Roman" w:cs="Arial"/>
                            <w:color w:val="000000"/>
                            <w:sz w:val="20"/>
                            <w:szCs w:val="20"/>
                            <w:lang w:val="en-US"/>
                          </w:rPr>
                          <w:t>Assessment</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277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222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237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187</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136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124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154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190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240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r>
                  <w:tr w:rsidR="00A20550" w:rsidRPr="006F169C" w:rsidTr="00870C15">
                    <w:trPr>
                      <w:trHeight w:val="164"/>
                    </w:trPr>
                    <w:tc>
                      <w:tcPr>
                        <w:tcW w:w="3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rPr>
                            <w:rFonts w:eastAsia="Times New Roman" w:cs="Arial"/>
                            <w:color w:val="000000"/>
                            <w:sz w:val="20"/>
                            <w:szCs w:val="20"/>
                            <w:lang w:val="en-US"/>
                          </w:rPr>
                        </w:pPr>
                        <w:r w:rsidRPr="006F169C">
                          <w:rPr>
                            <w:rFonts w:eastAsia="Times New Roman" w:cs="Arial"/>
                            <w:color w:val="000000"/>
                            <w:sz w:val="20"/>
                            <w:szCs w:val="20"/>
                            <w:lang w:val="en-US"/>
                          </w:rPr>
                          <w:t>Health or Performance Assessment</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135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127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128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123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115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105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98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75</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71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r>
                  <w:tr w:rsidR="00A20550" w:rsidRPr="006F169C" w:rsidTr="00870C15">
                    <w:trPr>
                      <w:trHeight w:val="164"/>
                    </w:trPr>
                    <w:tc>
                      <w:tcPr>
                        <w:tcW w:w="3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rPr>
                            <w:rFonts w:eastAsia="Times New Roman" w:cs="Arial"/>
                            <w:color w:val="000000"/>
                            <w:sz w:val="20"/>
                            <w:szCs w:val="20"/>
                            <w:lang w:val="en-US"/>
                          </w:rPr>
                        </w:pPr>
                        <w:r w:rsidRPr="006F169C">
                          <w:rPr>
                            <w:rFonts w:eastAsia="Times New Roman" w:cs="Arial"/>
                            <w:color w:val="000000"/>
                            <w:sz w:val="20"/>
                            <w:szCs w:val="20"/>
                            <w:lang w:val="en-US"/>
                          </w:rPr>
                          <w:t>Investigation</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452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444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437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408</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389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361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358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350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345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r>
                  <w:tr w:rsidR="00A20550" w:rsidRPr="006F169C" w:rsidTr="00870C15">
                    <w:trPr>
                      <w:trHeight w:val="164"/>
                    </w:trPr>
                    <w:tc>
                      <w:tcPr>
                        <w:tcW w:w="3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rPr>
                            <w:rFonts w:eastAsia="Times New Roman" w:cs="Arial"/>
                            <w:color w:val="000000"/>
                            <w:sz w:val="20"/>
                            <w:szCs w:val="20"/>
                            <w:lang w:val="en-US"/>
                          </w:rPr>
                        </w:pPr>
                        <w:r w:rsidRPr="006F169C">
                          <w:rPr>
                            <w:rFonts w:eastAsia="Times New Roman" w:cs="Arial"/>
                            <w:color w:val="000000"/>
                            <w:sz w:val="20"/>
                            <w:szCs w:val="20"/>
                            <w:lang w:val="en-US"/>
                          </w:rPr>
                          <w:t>Panel Hearing</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61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48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45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43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45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39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35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27</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24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r>
                  <w:tr w:rsidR="00A20550" w:rsidRPr="006F169C" w:rsidTr="00870C15">
                    <w:trPr>
                      <w:trHeight w:val="164"/>
                    </w:trPr>
                    <w:tc>
                      <w:tcPr>
                        <w:tcW w:w="3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rPr>
                            <w:rFonts w:eastAsia="Times New Roman" w:cs="Arial"/>
                            <w:color w:val="000000"/>
                            <w:sz w:val="20"/>
                            <w:szCs w:val="20"/>
                            <w:lang w:val="en-US"/>
                          </w:rPr>
                        </w:pPr>
                        <w:r w:rsidRPr="006F169C">
                          <w:rPr>
                            <w:rFonts w:eastAsia="Times New Roman" w:cs="Arial"/>
                            <w:color w:val="000000"/>
                            <w:sz w:val="20"/>
                            <w:szCs w:val="20"/>
                            <w:lang w:val="en-US"/>
                          </w:rPr>
                          <w:t>Tribunal Hearing</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142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139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137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135</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135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139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129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132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131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B6" w:rsidRPr="006F169C" w:rsidRDefault="00FF7BB6" w:rsidP="00870C15">
                        <w:pPr>
                          <w:spacing w:after="0"/>
                          <w:jc w:val="center"/>
                          <w:rPr>
                            <w:rFonts w:eastAsia="Times New Roman" w:cs="Arial"/>
                            <w:color w:val="000000"/>
                            <w:sz w:val="18"/>
                            <w:szCs w:val="20"/>
                            <w:lang w:val="en-US"/>
                          </w:rPr>
                        </w:pPr>
                      </w:p>
                    </w:tc>
                  </w:tr>
                  <w:tr w:rsidR="00A20550" w:rsidRPr="006F169C" w:rsidTr="00870C15">
                    <w:trPr>
                      <w:trHeight w:val="164"/>
                    </w:trPr>
                    <w:tc>
                      <w:tcPr>
                        <w:tcW w:w="3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7BB6" w:rsidRPr="006F169C" w:rsidRDefault="00FF7BB6" w:rsidP="00870C15">
                        <w:pPr>
                          <w:spacing w:after="0"/>
                          <w:rPr>
                            <w:rFonts w:eastAsia="Times New Roman" w:cs="Arial"/>
                            <w:bCs/>
                            <w:color w:val="000000"/>
                            <w:sz w:val="20"/>
                            <w:szCs w:val="20"/>
                            <w:lang w:val="en-US"/>
                          </w:rPr>
                        </w:pPr>
                        <w:r w:rsidRPr="006F169C">
                          <w:rPr>
                            <w:rFonts w:eastAsia="Times New Roman" w:cs="Arial"/>
                            <w:bCs/>
                            <w:color w:val="000000"/>
                            <w:sz w:val="20"/>
                            <w:szCs w:val="20"/>
                            <w:lang w:val="en-US"/>
                          </w:rPr>
                          <w:t>Total</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1067</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980</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984</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896</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820</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768</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774</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774</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7BB6" w:rsidRPr="006F169C" w:rsidRDefault="00FF7BB6" w:rsidP="00870C15">
                        <w:pPr>
                          <w:spacing w:after="0"/>
                          <w:jc w:val="center"/>
                          <w:rPr>
                            <w:rFonts w:eastAsia="Times New Roman" w:cs="Arial"/>
                            <w:color w:val="000000"/>
                            <w:sz w:val="18"/>
                            <w:szCs w:val="20"/>
                            <w:lang w:val="en-US"/>
                          </w:rPr>
                        </w:pPr>
                        <w:r w:rsidRPr="006F169C">
                          <w:rPr>
                            <w:rFonts w:eastAsia="Times New Roman" w:cs="Arial"/>
                            <w:color w:val="000000"/>
                            <w:sz w:val="18"/>
                            <w:szCs w:val="20"/>
                            <w:lang w:val="en-US"/>
                          </w:rPr>
                          <w:t>811</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7BB6" w:rsidRPr="006F169C" w:rsidRDefault="00FF7BB6" w:rsidP="00870C15">
                        <w:pPr>
                          <w:spacing w:after="0"/>
                          <w:jc w:val="center"/>
                          <w:rPr>
                            <w:rFonts w:eastAsia="Times New Roman" w:cs="Arial"/>
                            <w:color w:val="000000"/>
                            <w:sz w:val="18"/>
                            <w:szCs w:val="20"/>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7BB6" w:rsidRPr="006F169C" w:rsidRDefault="00FF7BB6" w:rsidP="00870C15">
                        <w:pPr>
                          <w:spacing w:after="0"/>
                          <w:jc w:val="center"/>
                          <w:rPr>
                            <w:rFonts w:eastAsia="Times New Roman" w:cs="Arial"/>
                            <w:color w:val="000000"/>
                            <w:sz w:val="18"/>
                            <w:szCs w:val="20"/>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7BB6" w:rsidRPr="006F169C" w:rsidRDefault="00FF7BB6" w:rsidP="00870C15">
                        <w:pPr>
                          <w:spacing w:after="0"/>
                          <w:jc w:val="center"/>
                          <w:rPr>
                            <w:rFonts w:eastAsia="Times New Roman" w:cs="Arial"/>
                            <w:color w:val="000000"/>
                            <w:sz w:val="18"/>
                            <w:szCs w:val="20"/>
                            <w:lang w:val="en-US"/>
                          </w:rPr>
                        </w:pPr>
                      </w:p>
                    </w:tc>
                  </w:tr>
                </w:tbl>
                <w:p w:rsidR="00FB75DE" w:rsidRDefault="000921A7" w:rsidP="00FB75DE">
                  <w:pPr>
                    <w:pStyle w:val="AHPRAbody"/>
                  </w:pPr>
                  <w:r w:rsidRPr="006F169C">
                    <w:br/>
                  </w:r>
                  <w:r w:rsidR="00FB75DE">
                    <w:t xml:space="preserve">This table shows the number of open complaints (grouped by stage) about practitioners with a PPP in Queensland being managed by a National Board. </w:t>
                  </w:r>
                </w:p>
                <w:p w:rsidR="00FB75DE" w:rsidRDefault="00FB75DE" w:rsidP="00FB75DE">
                  <w:pPr>
                    <w:pStyle w:val="AHPRAbody"/>
                  </w:pPr>
                  <w:r>
                    <w:t>The stage ‘assessment’ includes matters that have been assessed and a Board has proposed action under Division 10 of Part 8 of the National Law.</w:t>
                  </w:r>
                </w:p>
                <w:p w:rsidR="00B64E4A" w:rsidRPr="006F169C" w:rsidRDefault="00FB75DE" w:rsidP="00FB75DE">
                  <w:pPr>
                    <w:pStyle w:val="AHPRAbody"/>
                    <w:ind w:right="1687"/>
                  </w:pPr>
                  <w:r>
                    <w:t>The stage ‘Tribunal hearing’ refers to notifications that have been referred by a Board to the responsible tribunal in Queensland. These matters are managed in accordance with timetables set by the responsible tribunal.</w:t>
                  </w:r>
                </w:p>
              </w:tc>
            </w:tr>
          </w:tbl>
          <w:p w:rsidR="00735D63" w:rsidRPr="006F169C" w:rsidRDefault="00735D63" w:rsidP="00746FF5">
            <w:pPr>
              <w:pStyle w:val="AHPRAbody"/>
            </w:pPr>
          </w:p>
        </w:tc>
      </w:tr>
    </w:tbl>
    <w:p w:rsidR="00F743E8" w:rsidRPr="006F169C" w:rsidRDefault="00F743E8">
      <w:pPr>
        <w:rPr>
          <w:rFonts w:cs="Arial"/>
        </w:rPr>
      </w:pPr>
    </w:p>
    <w:tbl>
      <w:tblPr>
        <w:tblW w:w="0" w:type="auto"/>
        <w:tblCellSpacing w:w="7" w:type="dxa"/>
        <w:tblInd w:w="122" w:type="dxa"/>
        <w:tblCellMar>
          <w:top w:w="30" w:type="dxa"/>
          <w:bottom w:w="30" w:type="dxa"/>
        </w:tblCellMar>
        <w:tblLook w:val="04A0" w:firstRow="1" w:lastRow="0" w:firstColumn="1" w:lastColumn="0" w:noHBand="0" w:noVBand="1"/>
      </w:tblPr>
      <w:tblGrid>
        <w:gridCol w:w="14500"/>
      </w:tblGrid>
      <w:tr w:rsidR="00746FF5" w:rsidRPr="006F169C" w:rsidTr="00F743E8">
        <w:trPr>
          <w:trHeight w:val="7190"/>
          <w:tblCellSpacing w:w="7" w:type="dxa"/>
        </w:trPr>
        <w:tc>
          <w:tcPr>
            <w:tcW w:w="14472" w:type="dxa"/>
            <w:tcBorders>
              <w:bottom w:val="single" w:sz="2" w:space="0" w:color="FFFFFF" w:themeColor="background1"/>
            </w:tcBorders>
            <w:vAlign w:val="center"/>
          </w:tcPr>
          <w:p w:rsidR="00746FF5" w:rsidRPr="006F169C" w:rsidRDefault="00746FF5" w:rsidP="00746FF5">
            <w:pPr>
              <w:pStyle w:val="AHPRADocumentsubheading"/>
            </w:pPr>
            <w:r w:rsidRPr="006F169C">
              <w:lastRenderedPageBreak/>
              <w:t>Timeliness of open assessments</w:t>
            </w:r>
          </w:p>
          <w:p w:rsidR="00746FF5" w:rsidRPr="006F169C" w:rsidRDefault="00746FF5">
            <w:pPr>
              <w:rPr>
                <w:rFonts w:cs="Arial"/>
              </w:rPr>
            </w:pPr>
            <w:r w:rsidRPr="006F169C">
              <w:rPr>
                <w:rFonts w:cs="Arial"/>
                <w:noProof/>
                <w:lang w:eastAsia="en-AU"/>
              </w:rPr>
              <w:drawing>
                <wp:inline distT="0" distB="0" distL="0" distR="0">
                  <wp:extent cx="9000000" cy="3060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14120" w:type="dxa"/>
              <w:tblLook w:val="04A0" w:firstRow="1" w:lastRow="0" w:firstColumn="1" w:lastColumn="0" w:noHBand="0" w:noVBand="1"/>
            </w:tblPr>
            <w:tblGrid>
              <w:gridCol w:w="2960"/>
              <w:gridCol w:w="920"/>
              <w:gridCol w:w="920"/>
              <w:gridCol w:w="920"/>
              <w:gridCol w:w="920"/>
              <w:gridCol w:w="920"/>
              <w:gridCol w:w="920"/>
              <w:gridCol w:w="920"/>
              <w:gridCol w:w="920"/>
              <w:gridCol w:w="920"/>
              <w:gridCol w:w="960"/>
              <w:gridCol w:w="960"/>
              <w:gridCol w:w="960"/>
            </w:tblGrid>
            <w:tr w:rsidR="00746FF5" w:rsidRPr="006F169C" w:rsidTr="00CD74A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FF5" w:rsidRPr="006F169C" w:rsidRDefault="00746FF5" w:rsidP="00CD74A9">
                  <w:pPr>
                    <w:spacing w:after="0"/>
                    <w:rPr>
                      <w:rFonts w:eastAsia="Times New Roman" w:cs="Arial"/>
                      <w:color w:val="000000"/>
                      <w:sz w:val="20"/>
                      <w:szCs w:val="22"/>
                      <w:lang w:val="en-US"/>
                    </w:rPr>
                  </w:pPr>
                  <w:r w:rsidRPr="006F169C">
                    <w:rPr>
                      <w:rFonts w:eastAsia="Times New Roman" w:cs="Arial"/>
                      <w:color w:val="000000"/>
                      <w:sz w:val="20"/>
                      <w:szCs w:val="22"/>
                      <w:lang w:val="en-US"/>
                    </w:rPr>
                    <w:t>Assessment</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Jul</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Aug</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Sep</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Oct</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Nov</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Dec</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Jan</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Feb</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Apr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May</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Jun</w:t>
                  </w:r>
                </w:p>
              </w:tc>
            </w:tr>
            <w:tr w:rsidR="00746FF5" w:rsidRPr="006F169C" w:rsidTr="00CD74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746FF5" w:rsidRPr="006F169C" w:rsidRDefault="00746FF5" w:rsidP="00CD74A9">
                  <w:pPr>
                    <w:spacing w:after="0"/>
                    <w:rPr>
                      <w:rFonts w:eastAsia="Times New Roman" w:cs="Arial"/>
                      <w:color w:val="000000"/>
                      <w:sz w:val="20"/>
                      <w:szCs w:val="22"/>
                      <w:lang w:val="en-US"/>
                    </w:rPr>
                  </w:pPr>
                  <w:r w:rsidRPr="006F169C">
                    <w:rPr>
                      <w:rFonts w:eastAsia="Times New Roman" w:cs="Arial"/>
                      <w:color w:val="000000"/>
                      <w:sz w:val="20"/>
                      <w:szCs w:val="22"/>
                      <w:lang w:val="en-US"/>
                    </w:rPr>
                    <w:t>up to 30 days</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13</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71</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77</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47</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22</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34</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69</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82</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109</w:t>
                  </w: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p>
              </w:tc>
            </w:tr>
            <w:tr w:rsidR="00746FF5" w:rsidRPr="006F169C" w:rsidTr="00CD74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746FF5" w:rsidRPr="006F169C" w:rsidRDefault="00746FF5" w:rsidP="00CD74A9">
                  <w:pPr>
                    <w:spacing w:after="0"/>
                    <w:rPr>
                      <w:rFonts w:eastAsia="Times New Roman" w:cs="Arial"/>
                      <w:color w:val="000000"/>
                      <w:sz w:val="20"/>
                      <w:szCs w:val="22"/>
                      <w:lang w:val="en-US"/>
                    </w:rPr>
                  </w:pPr>
                  <w:r w:rsidRPr="006F169C">
                    <w:rPr>
                      <w:rFonts w:eastAsia="Times New Roman" w:cs="Arial"/>
                      <w:color w:val="000000"/>
                      <w:sz w:val="20"/>
                      <w:szCs w:val="22"/>
                      <w:lang w:val="en-US"/>
                    </w:rPr>
                    <w:t>30 to 60 days</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47</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36</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24</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11</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5</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13</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43</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64</w:t>
                  </w: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p>
              </w:tc>
            </w:tr>
            <w:tr w:rsidR="00746FF5" w:rsidRPr="006F169C" w:rsidTr="00CD74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746FF5" w:rsidRPr="006F169C" w:rsidRDefault="00746FF5" w:rsidP="00CD74A9">
                  <w:pPr>
                    <w:spacing w:after="0"/>
                    <w:rPr>
                      <w:rFonts w:eastAsia="Times New Roman" w:cs="Arial"/>
                      <w:color w:val="000000"/>
                      <w:sz w:val="20"/>
                      <w:szCs w:val="22"/>
                      <w:lang w:val="en-US"/>
                    </w:rPr>
                  </w:pPr>
                  <w:r w:rsidRPr="006F169C">
                    <w:rPr>
                      <w:rFonts w:eastAsia="Times New Roman" w:cs="Arial"/>
                      <w:color w:val="000000"/>
                      <w:sz w:val="20"/>
                      <w:szCs w:val="22"/>
                      <w:lang w:val="en-US"/>
                    </w:rPr>
                    <w:t>over 60 days</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8</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12</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10</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2</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3</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3</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10</w:t>
                  </w: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p>
              </w:tc>
            </w:tr>
            <w:tr w:rsidR="00746FF5" w:rsidRPr="006F169C" w:rsidTr="00CD74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746FF5" w:rsidRPr="006F169C" w:rsidRDefault="00746FF5" w:rsidP="00746FF5">
                  <w:pPr>
                    <w:spacing w:after="0"/>
                    <w:jc w:val="right"/>
                    <w:rPr>
                      <w:rFonts w:eastAsia="Times New Roman" w:cs="Arial"/>
                      <w:i/>
                      <w:color w:val="000000"/>
                      <w:sz w:val="18"/>
                      <w:szCs w:val="22"/>
                      <w:lang w:val="en-US"/>
                    </w:rPr>
                  </w:pPr>
                  <w:r w:rsidRPr="006F169C">
                    <w:rPr>
                      <w:rFonts w:eastAsia="Times New Roman" w:cs="Arial"/>
                      <w:i/>
                      <w:color w:val="000000"/>
                      <w:sz w:val="18"/>
                      <w:szCs w:val="22"/>
                      <w:lang w:val="en-US"/>
                    </w:rPr>
                    <w:t>Open Assessments post Board</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i/>
                      <w:color w:val="000000"/>
                      <w:sz w:val="18"/>
                      <w:szCs w:val="22"/>
                      <w:lang w:val="en-US"/>
                    </w:rPr>
                  </w:pPr>
                  <w:r w:rsidRPr="006F169C">
                    <w:rPr>
                      <w:rFonts w:eastAsia="Times New Roman" w:cs="Arial"/>
                      <w:i/>
                      <w:color w:val="000000"/>
                      <w:sz w:val="18"/>
                      <w:szCs w:val="22"/>
                      <w:lang w:val="en-US"/>
                    </w:rPr>
                    <w:t>209</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i/>
                      <w:color w:val="000000"/>
                      <w:sz w:val="18"/>
                      <w:szCs w:val="22"/>
                      <w:lang w:val="en-US"/>
                    </w:rPr>
                  </w:pPr>
                  <w:r w:rsidRPr="006F169C">
                    <w:rPr>
                      <w:rFonts w:eastAsia="Times New Roman" w:cs="Arial"/>
                      <w:i/>
                      <w:color w:val="000000"/>
                      <w:sz w:val="18"/>
                      <w:szCs w:val="22"/>
                      <w:lang w:val="en-US"/>
                    </w:rPr>
                    <w:t>139</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i/>
                      <w:color w:val="000000"/>
                      <w:sz w:val="18"/>
                      <w:szCs w:val="22"/>
                      <w:lang w:val="en-US"/>
                    </w:rPr>
                  </w:pPr>
                  <w:r w:rsidRPr="006F169C">
                    <w:rPr>
                      <w:rFonts w:eastAsia="Times New Roman" w:cs="Arial"/>
                      <w:i/>
                      <w:color w:val="000000"/>
                      <w:sz w:val="18"/>
                      <w:szCs w:val="22"/>
                      <w:lang w:val="en-US"/>
                    </w:rPr>
                    <w:t>123</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i/>
                      <w:color w:val="000000"/>
                      <w:sz w:val="18"/>
                      <w:szCs w:val="22"/>
                      <w:lang w:val="en-US"/>
                    </w:rPr>
                  </w:pPr>
                  <w:r w:rsidRPr="006F169C">
                    <w:rPr>
                      <w:rFonts w:eastAsia="Times New Roman" w:cs="Arial"/>
                      <w:i/>
                      <w:color w:val="000000"/>
                      <w:sz w:val="18"/>
                      <w:szCs w:val="22"/>
                      <w:lang w:val="en-US"/>
                    </w:rPr>
                    <w:t>106</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i/>
                      <w:color w:val="000000"/>
                      <w:sz w:val="18"/>
                      <w:szCs w:val="22"/>
                      <w:lang w:val="en-US"/>
                    </w:rPr>
                  </w:pPr>
                  <w:r w:rsidRPr="006F169C">
                    <w:rPr>
                      <w:rFonts w:eastAsia="Times New Roman" w:cs="Arial"/>
                      <w:i/>
                      <w:color w:val="000000"/>
                      <w:sz w:val="18"/>
                      <w:szCs w:val="22"/>
                      <w:lang w:val="en-US"/>
                    </w:rPr>
                    <w:t>101</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i/>
                      <w:color w:val="000000"/>
                      <w:sz w:val="18"/>
                      <w:szCs w:val="22"/>
                      <w:lang w:val="en-US"/>
                    </w:rPr>
                  </w:pPr>
                  <w:r w:rsidRPr="006F169C">
                    <w:rPr>
                      <w:rFonts w:eastAsia="Times New Roman" w:cs="Arial"/>
                      <w:i/>
                      <w:color w:val="000000"/>
                      <w:sz w:val="18"/>
                      <w:szCs w:val="22"/>
                      <w:lang w:val="en-US"/>
                    </w:rPr>
                    <w:t>82</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i/>
                      <w:color w:val="000000"/>
                      <w:sz w:val="18"/>
                      <w:szCs w:val="22"/>
                      <w:lang w:val="en-US"/>
                    </w:rPr>
                  </w:pPr>
                  <w:r w:rsidRPr="006F169C">
                    <w:rPr>
                      <w:rFonts w:eastAsia="Times New Roman" w:cs="Arial"/>
                      <w:i/>
                      <w:color w:val="000000"/>
                      <w:sz w:val="18"/>
                      <w:szCs w:val="22"/>
                      <w:lang w:val="en-US"/>
                    </w:rPr>
                    <w:t>71</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i/>
                      <w:color w:val="000000"/>
                      <w:sz w:val="18"/>
                      <w:szCs w:val="22"/>
                      <w:lang w:val="en-US"/>
                    </w:rPr>
                  </w:pPr>
                  <w:r w:rsidRPr="006F169C">
                    <w:rPr>
                      <w:rFonts w:eastAsia="Times New Roman" w:cs="Arial"/>
                      <w:i/>
                      <w:color w:val="000000"/>
                      <w:sz w:val="18"/>
                      <w:szCs w:val="22"/>
                      <w:lang w:val="en-US"/>
                    </w:rPr>
                    <w:t>62</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i/>
                      <w:color w:val="000000"/>
                      <w:sz w:val="18"/>
                      <w:szCs w:val="22"/>
                      <w:lang w:val="en-US"/>
                    </w:rPr>
                  </w:pPr>
                  <w:r w:rsidRPr="006F169C">
                    <w:rPr>
                      <w:rFonts w:eastAsia="Times New Roman" w:cs="Arial"/>
                      <w:i/>
                      <w:color w:val="000000"/>
                      <w:sz w:val="18"/>
                      <w:szCs w:val="22"/>
                      <w:lang w:val="en-US"/>
                    </w:rPr>
                    <w:t>57</w:t>
                  </w: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i/>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i/>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i/>
                      <w:color w:val="000000"/>
                      <w:sz w:val="18"/>
                      <w:szCs w:val="22"/>
                      <w:lang w:val="en-US"/>
                    </w:rPr>
                  </w:pPr>
                </w:p>
              </w:tc>
            </w:tr>
            <w:tr w:rsidR="00746FF5" w:rsidRPr="006F169C" w:rsidTr="00CD74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746FF5" w:rsidRPr="006F169C" w:rsidRDefault="00746FF5" w:rsidP="00CD74A9">
                  <w:pPr>
                    <w:spacing w:after="0"/>
                    <w:rPr>
                      <w:rFonts w:eastAsia="Times New Roman" w:cs="Arial"/>
                      <w:color w:val="000000"/>
                      <w:sz w:val="22"/>
                      <w:szCs w:val="22"/>
                      <w:lang w:val="en-US"/>
                    </w:rPr>
                  </w:pPr>
                  <w:r w:rsidRPr="006F169C">
                    <w:rPr>
                      <w:rFonts w:eastAsia="Times New Roman" w:cs="Arial"/>
                      <w:color w:val="000000"/>
                      <w:sz w:val="20"/>
                      <w:szCs w:val="22"/>
                      <w:lang w:val="en-US"/>
                    </w:rPr>
                    <w:t>Total</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277</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222</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237</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187</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136</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124</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154</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190</w:t>
                  </w:r>
                </w:p>
              </w:tc>
              <w:tc>
                <w:tcPr>
                  <w:tcW w:w="92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240</w:t>
                  </w: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746FF5" w:rsidRPr="006F169C" w:rsidRDefault="00746FF5" w:rsidP="00CD74A9">
                  <w:pPr>
                    <w:spacing w:after="0"/>
                    <w:jc w:val="center"/>
                    <w:rPr>
                      <w:rFonts w:eastAsia="Times New Roman" w:cs="Arial"/>
                      <w:color w:val="000000"/>
                      <w:sz w:val="18"/>
                      <w:szCs w:val="22"/>
                      <w:lang w:val="en-US"/>
                    </w:rPr>
                  </w:pPr>
                </w:p>
              </w:tc>
            </w:tr>
          </w:tbl>
          <w:p w:rsidR="00746FF5" w:rsidRPr="00FB75DE" w:rsidRDefault="00F743E8" w:rsidP="00314A4A">
            <w:pPr>
              <w:rPr>
                <w:rFonts w:cs="Arial"/>
                <w:sz w:val="20"/>
                <w:szCs w:val="20"/>
              </w:rPr>
            </w:pPr>
            <w:r w:rsidRPr="006F169C">
              <w:rPr>
                <w:rFonts w:cs="Arial"/>
                <w:sz w:val="22"/>
              </w:rPr>
              <w:br/>
            </w:r>
            <w:r w:rsidR="00FB75DE" w:rsidRPr="00FB75DE">
              <w:rPr>
                <w:sz w:val="20"/>
                <w:szCs w:val="20"/>
              </w:rPr>
              <w:t>This graph</w:t>
            </w:r>
            <w:r w:rsidR="00314A4A">
              <w:rPr>
                <w:sz w:val="20"/>
                <w:szCs w:val="20"/>
              </w:rPr>
              <w:t xml:space="preserve"> and table</w:t>
            </w:r>
            <w:r w:rsidR="00FB75DE" w:rsidRPr="00FB75DE">
              <w:rPr>
                <w:sz w:val="20"/>
                <w:szCs w:val="20"/>
              </w:rPr>
              <w:t xml:space="preserve"> show the number of open complaints about practitioners with a PPP in Queensland being managed by a National Board in ‘preliminary assessment’, including the number of days that the open complaint has been in ‘preliminary assessment’.</w:t>
            </w:r>
            <w:r w:rsidR="00FB75DE">
              <w:rPr>
                <w:sz w:val="20"/>
                <w:szCs w:val="20"/>
              </w:rPr>
              <w:t xml:space="preserve"> </w:t>
            </w:r>
            <w:r w:rsidR="00FB75DE" w:rsidRPr="00FB75DE">
              <w:rPr>
                <w:sz w:val="20"/>
                <w:szCs w:val="20"/>
              </w:rPr>
              <w:t>The preliminary assessment phase has concluded when a Board decides to take further action by investigating, referring for health or performance assessment, referring to a panel, referring to the relevant tribunal, or by proposing to take a relevant action under Division 10 of Part 8 of the National Law.</w:t>
            </w:r>
          </w:p>
        </w:tc>
      </w:tr>
    </w:tbl>
    <w:p w:rsidR="00F743E8" w:rsidRPr="006F169C" w:rsidRDefault="00F743E8">
      <w:pPr>
        <w:spacing w:after="0"/>
        <w:rPr>
          <w:rFonts w:cs="Arial"/>
          <w:color w:val="5F6062"/>
          <w:sz w:val="28"/>
          <w:szCs w:val="52"/>
        </w:rPr>
      </w:pPr>
    </w:p>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4544"/>
      </w:tblGrid>
      <w:tr w:rsidR="00E91171" w:rsidRPr="006F169C" w:rsidTr="006F169C">
        <w:trPr>
          <w:tblCellSpacing w:w="7" w:type="dxa"/>
        </w:trPr>
        <w:tc>
          <w:tcPr>
            <w:tcW w:w="14516" w:type="dxa"/>
            <w:vAlign w:val="center"/>
            <w:hideMark/>
          </w:tcPr>
          <w:p w:rsidR="000921A7" w:rsidRPr="006F169C" w:rsidRDefault="000921A7" w:rsidP="00870C15">
            <w:pPr>
              <w:pStyle w:val="AHPRADocumentsubheading"/>
            </w:pPr>
            <w:r w:rsidRPr="006F169C">
              <w:t>Number of completed assessments</w:t>
            </w:r>
          </w:p>
        </w:tc>
      </w:tr>
      <w:tr w:rsidR="00E91171" w:rsidRPr="006F169C" w:rsidTr="006F169C">
        <w:trPr>
          <w:tblCellSpacing w:w="7" w:type="dxa"/>
        </w:trPr>
        <w:tc>
          <w:tcPr>
            <w:tcW w:w="14516" w:type="dxa"/>
            <w:vAlign w:val="center"/>
            <w:hideMark/>
          </w:tcPr>
          <w:tbl>
            <w:tblPr>
              <w:tblW w:w="14282" w:type="dxa"/>
              <w:tblCellSpacing w:w="0" w:type="dxa"/>
              <w:tblLayout w:type="fixed"/>
              <w:tblCellMar>
                <w:left w:w="0" w:type="dxa"/>
                <w:right w:w="0" w:type="dxa"/>
              </w:tblCellMar>
              <w:tblLook w:val="04A0" w:firstRow="1" w:lastRow="0" w:firstColumn="1" w:lastColumn="0" w:noHBand="0" w:noVBand="1"/>
            </w:tblPr>
            <w:tblGrid>
              <w:gridCol w:w="14282"/>
            </w:tblGrid>
            <w:tr w:rsidR="00E91171" w:rsidRPr="006F169C" w:rsidTr="006F169C">
              <w:trPr>
                <w:trHeight w:val="1214"/>
                <w:tblCellSpacing w:w="0" w:type="dxa"/>
              </w:trPr>
              <w:tc>
                <w:tcPr>
                  <w:tcW w:w="14282" w:type="dxa"/>
                  <w:hideMark/>
                </w:tcPr>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40"/>
                    <w:gridCol w:w="386"/>
                    <w:gridCol w:w="141"/>
                    <w:gridCol w:w="682"/>
                    <w:gridCol w:w="199"/>
                    <w:gridCol w:w="624"/>
                    <w:gridCol w:w="256"/>
                    <w:gridCol w:w="568"/>
                    <w:gridCol w:w="312"/>
                    <w:gridCol w:w="511"/>
                    <w:gridCol w:w="369"/>
                    <w:gridCol w:w="454"/>
                    <w:gridCol w:w="426"/>
                    <w:gridCol w:w="397"/>
                    <w:gridCol w:w="483"/>
                    <w:gridCol w:w="341"/>
                    <w:gridCol w:w="540"/>
                    <w:gridCol w:w="283"/>
                    <w:gridCol w:w="635"/>
                    <w:gridCol w:w="189"/>
                    <w:gridCol w:w="729"/>
                    <w:gridCol w:w="94"/>
                    <w:gridCol w:w="824"/>
                  </w:tblGrid>
                  <w:tr w:rsidR="000921A7" w:rsidRPr="006F169C" w:rsidTr="006F169C">
                    <w:trPr>
                      <w:trHeight w:val="67"/>
                    </w:trPr>
                    <w:tc>
                      <w:tcPr>
                        <w:tcW w:w="4465" w:type="dxa"/>
                        <w:tcBorders>
                          <w:top w:val="nil"/>
                          <w:left w:val="nil"/>
                          <w:right w:val="nil"/>
                        </w:tcBorders>
                        <w:shd w:val="clear" w:color="auto" w:fill="auto"/>
                        <w:noWrap/>
                        <w:vAlign w:val="bottom"/>
                      </w:tcPr>
                      <w:p w:rsidR="000921A7" w:rsidRPr="006F169C" w:rsidRDefault="000921A7" w:rsidP="006E0B29">
                        <w:pPr>
                          <w:spacing w:after="0"/>
                          <w:rPr>
                            <w:rFonts w:eastAsia="Times New Roman" w:cs="Arial"/>
                            <w:color w:val="000000"/>
                            <w:sz w:val="22"/>
                            <w:szCs w:val="22"/>
                            <w:lang w:val="en-US"/>
                          </w:rPr>
                        </w:pPr>
                      </w:p>
                    </w:tc>
                    <w:tc>
                      <w:tcPr>
                        <w:tcW w:w="443" w:type="dxa"/>
                        <w:tcBorders>
                          <w:top w:val="nil"/>
                          <w:left w:val="nil"/>
                          <w:right w:val="nil"/>
                        </w:tcBorders>
                        <w:shd w:val="clear" w:color="auto" w:fill="auto"/>
                        <w:noWrap/>
                      </w:tcPr>
                      <w:p w:rsidR="000921A7" w:rsidRPr="006F169C" w:rsidRDefault="000921A7" w:rsidP="006E0B29">
                        <w:pPr>
                          <w:spacing w:after="0"/>
                          <w:jc w:val="center"/>
                          <w:rPr>
                            <w:rFonts w:eastAsia="Times New Roman" w:cs="Arial"/>
                            <w:color w:val="000000"/>
                            <w:sz w:val="22"/>
                            <w:szCs w:val="22"/>
                            <w:lang w:val="en-US"/>
                          </w:rPr>
                        </w:pPr>
                      </w:p>
                    </w:tc>
                    <w:tc>
                      <w:tcPr>
                        <w:tcW w:w="532" w:type="dxa"/>
                        <w:gridSpan w:val="2"/>
                        <w:tcBorders>
                          <w:top w:val="nil"/>
                          <w:left w:val="nil"/>
                          <w:right w:val="nil"/>
                        </w:tcBorders>
                        <w:shd w:val="clear" w:color="auto" w:fill="auto"/>
                        <w:noWrap/>
                      </w:tcPr>
                      <w:p w:rsidR="000921A7" w:rsidRPr="006F169C" w:rsidRDefault="000921A7" w:rsidP="006E0B29">
                        <w:pPr>
                          <w:spacing w:after="0"/>
                          <w:jc w:val="center"/>
                          <w:rPr>
                            <w:rFonts w:eastAsia="Times New Roman" w:cs="Arial"/>
                            <w:color w:val="000000"/>
                            <w:sz w:val="22"/>
                            <w:szCs w:val="22"/>
                            <w:lang w:val="en-US"/>
                          </w:rPr>
                        </w:pPr>
                      </w:p>
                    </w:tc>
                    <w:tc>
                      <w:tcPr>
                        <w:tcW w:w="891" w:type="dxa"/>
                        <w:gridSpan w:val="2"/>
                        <w:tcBorders>
                          <w:top w:val="nil"/>
                          <w:left w:val="nil"/>
                          <w:right w:val="nil"/>
                        </w:tcBorders>
                        <w:shd w:val="clear" w:color="auto" w:fill="auto"/>
                        <w:noWrap/>
                      </w:tcPr>
                      <w:p w:rsidR="000921A7" w:rsidRPr="006F169C" w:rsidRDefault="000921A7" w:rsidP="006E0B29">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0921A7" w:rsidRPr="006F169C" w:rsidRDefault="000921A7" w:rsidP="006E0B29">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0921A7" w:rsidRPr="006F169C" w:rsidRDefault="000921A7" w:rsidP="006E0B29">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0921A7" w:rsidRPr="006F169C" w:rsidRDefault="000921A7" w:rsidP="006E0B29">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0921A7" w:rsidRPr="006F169C" w:rsidRDefault="000921A7" w:rsidP="006E0B29">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0921A7" w:rsidRPr="006F169C" w:rsidRDefault="000921A7" w:rsidP="006E0B29">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0921A7" w:rsidRPr="006F169C" w:rsidRDefault="000921A7" w:rsidP="006E0B29">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0921A7" w:rsidRPr="006F169C" w:rsidRDefault="000921A7" w:rsidP="006E0B29">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0921A7" w:rsidRPr="006F169C" w:rsidRDefault="000921A7" w:rsidP="006E0B29">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0921A7" w:rsidRPr="006F169C" w:rsidRDefault="000921A7" w:rsidP="006E0B29">
                        <w:pPr>
                          <w:spacing w:after="0"/>
                          <w:jc w:val="center"/>
                          <w:rPr>
                            <w:rFonts w:eastAsia="Times New Roman" w:cs="Arial"/>
                            <w:color w:val="000000"/>
                            <w:sz w:val="22"/>
                            <w:szCs w:val="22"/>
                            <w:lang w:val="en-US"/>
                          </w:rPr>
                        </w:pPr>
                      </w:p>
                    </w:tc>
                  </w:tr>
                  <w:tr w:rsidR="006F169C" w:rsidRPr="006F169C" w:rsidTr="006F169C">
                    <w:trPr>
                      <w:trHeight w:val="67"/>
                    </w:trPr>
                    <w:tc>
                      <w:tcPr>
                        <w:tcW w:w="4465" w:type="dxa"/>
                        <w:shd w:val="clear" w:color="auto" w:fill="auto"/>
                        <w:noWrap/>
                        <w:vAlign w:val="bottom"/>
                        <w:hideMark/>
                      </w:tcPr>
                      <w:p w:rsidR="006E0B29" w:rsidRPr="006F169C" w:rsidRDefault="006E0B29" w:rsidP="006E0B29">
                        <w:pPr>
                          <w:spacing w:after="0"/>
                          <w:rPr>
                            <w:rFonts w:eastAsia="Times New Roman" w:cs="Arial"/>
                            <w:color w:val="000000"/>
                            <w:sz w:val="20"/>
                            <w:szCs w:val="22"/>
                            <w:lang w:val="en-US"/>
                          </w:rPr>
                        </w:pPr>
                      </w:p>
                    </w:tc>
                    <w:tc>
                      <w:tcPr>
                        <w:tcW w:w="832" w:type="dxa"/>
                        <w:gridSpan w:val="2"/>
                        <w:shd w:val="clear" w:color="000000" w:fill="D8D8D8"/>
                        <w:noWrap/>
                        <w:hideMark/>
                      </w:tcPr>
                      <w:p w:rsidR="006E0B29" w:rsidRPr="006F169C" w:rsidRDefault="006E0B29" w:rsidP="006E0B2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Jul</w:t>
                        </w:r>
                      </w:p>
                    </w:tc>
                    <w:tc>
                      <w:tcPr>
                        <w:tcW w:w="833" w:type="dxa"/>
                        <w:gridSpan w:val="2"/>
                        <w:shd w:val="clear" w:color="000000" w:fill="D8D8D8"/>
                        <w:noWrap/>
                        <w:hideMark/>
                      </w:tcPr>
                      <w:p w:rsidR="006E0B29" w:rsidRPr="006F169C" w:rsidRDefault="006E0B29" w:rsidP="006E0B2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Aug</w:t>
                        </w:r>
                      </w:p>
                    </w:tc>
                    <w:tc>
                      <w:tcPr>
                        <w:tcW w:w="832" w:type="dxa"/>
                        <w:gridSpan w:val="2"/>
                        <w:shd w:val="clear" w:color="000000" w:fill="D8D8D8"/>
                        <w:noWrap/>
                        <w:hideMark/>
                      </w:tcPr>
                      <w:p w:rsidR="006E0B29" w:rsidRPr="006F169C" w:rsidRDefault="006E0B29" w:rsidP="006E0B2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Sep</w:t>
                        </w:r>
                      </w:p>
                    </w:tc>
                    <w:tc>
                      <w:tcPr>
                        <w:tcW w:w="833" w:type="dxa"/>
                        <w:gridSpan w:val="2"/>
                        <w:shd w:val="clear" w:color="000000" w:fill="D8D8D8"/>
                        <w:noWrap/>
                        <w:hideMark/>
                      </w:tcPr>
                      <w:p w:rsidR="006E0B29" w:rsidRPr="006F169C" w:rsidRDefault="006E0B29" w:rsidP="006E0B2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Oct</w:t>
                        </w:r>
                      </w:p>
                    </w:tc>
                    <w:tc>
                      <w:tcPr>
                        <w:tcW w:w="832" w:type="dxa"/>
                        <w:gridSpan w:val="2"/>
                        <w:shd w:val="clear" w:color="000000" w:fill="D8D8D8"/>
                        <w:noWrap/>
                        <w:hideMark/>
                      </w:tcPr>
                      <w:p w:rsidR="006E0B29" w:rsidRPr="006F169C" w:rsidRDefault="006E0B29" w:rsidP="006E0B2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Nov</w:t>
                        </w:r>
                      </w:p>
                    </w:tc>
                    <w:tc>
                      <w:tcPr>
                        <w:tcW w:w="833" w:type="dxa"/>
                        <w:gridSpan w:val="2"/>
                        <w:shd w:val="clear" w:color="000000" w:fill="D8D8D8"/>
                        <w:noWrap/>
                        <w:hideMark/>
                      </w:tcPr>
                      <w:p w:rsidR="006E0B29" w:rsidRPr="006F169C" w:rsidRDefault="006E0B29" w:rsidP="006E0B2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Dec</w:t>
                        </w:r>
                      </w:p>
                    </w:tc>
                    <w:tc>
                      <w:tcPr>
                        <w:tcW w:w="832" w:type="dxa"/>
                        <w:gridSpan w:val="2"/>
                        <w:shd w:val="clear" w:color="000000" w:fill="D8D8D8"/>
                        <w:noWrap/>
                        <w:hideMark/>
                      </w:tcPr>
                      <w:p w:rsidR="006E0B29" w:rsidRPr="006F169C" w:rsidRDefault="006E0B29" w:rsidP="006E0B2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Jan</w:t>
                        </w:r>
                      </w:p>
                    </w:tc>
                    <w:tc>
                      <w:tcPr>
                        <w:tcW w:w="833" w:type="dxa"/>
                        <w:gridSpan w:val="2"/>
                        <w:shd w:val="clear" w:color="000000" w:fill="D8D8D8"/>
                        <w:noWrap/>
                        <w:hideMark/>
                      </w:tcPr>
                      <w:p w:rsidR="006E0B29" w:rsidRPr="006F169C" w:rsidRDefault="006E0B29" w:rsidP="006E0B2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Feb</w:t>
                        </w:r>
                      </w:p>
                    </w:tc>
                    <w:tc>
                      <w:tcPr>
                        <w:tcW w:w="832" w:type="dxa"/>
                        <w:gridSpan w:val="2"/>
                        <w:shd w:val="clear" w:color="000000" w:fill="D8D8D8"/>
                        <w:noWrap/>
                        <w:hideMark/>
                      </w:tcPr>
                      <w:p w:rsidR="006E0B29" w:rsidRPr="006F169C" w:rsidRDefault="006E0B29" w:rsidP="006E0B2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Mar</w:t>
                        </w:r>
                      </w:p>
                    </w:tc>
                    <w:tc>
                      <w:tcPr>
                        <w:tcW w:w="833" w:type="dxa"/>
                        <w:gridSpan w:val="2"/>
                        <w:shd w:val="clear" w:color="000000" w:fill="D8D8D8"/>
                        <w:noWrap/>
                        <w:hideMark/>
                      </w:tcPr>
                      <w:p w:rsidR="006E0B29" w:rsidRPr="006F169C" w:rsidRDefault="006E0B29" w:rsidP="006E0B2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Apr</w:t>
                        </w:r>
                      </w:p>
                    </w:tc>
                    <w:tc>
                      <w:tcPr>
                        <w:tcW w:w="832" w:type="dxa"/>
                        <w:gridSpan w:val="2"/>
                        <w:shd w:val="clear" w:color="000000" w:fill="D8D8D8"/>
                        <w:noWrap/>
                        <w:hideMark/>
                      </w:tcPr>
                      <w:p w:rsidR="006E0B29" w:rsidRPr="006F169C" w:rsidRDefault="006E0B29" w:rsidP="006E0B2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May</w:t>
                        </w:r>
                      </w:p>
                    </w:tc>
                    <w:tc>
                      <w:tcPr>
                        <w:tcW w:w="833" w:type="dxa"/>
                        <w:shd w:val="clear" w:color="000000" w:fill="D8D8D8"/>
                        <w:noWrap/>
                        <w:hideMark/>
                      </w:tcPr>
                      <w:p w:rsidR="006E0B29" w:rsidRPr="006F169C" w:rsidRDefault="006E0B29" w:rsidP="006E0B2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Jun</w:t>
                        </w:r>
                      </w:p>
                    </w:tc>
                  </w:tr>
                  <w:tr w:rsidR="006F169C" w:rsidRPr="006F169C" w:rsidTr="006F169C">
                    <w:trPr>
                      <w:trHeight w:val="67"/>
                    </w:trPr>
                    <w:tc>
                      <w:tcPr>
                        <w:tcW w:w="4465" w:type="dxa"/>
                        <w:shd w:val="clear" w:color="auto" w:fill="auto"/>
                        <w:noWrap/>
                        <w:vAlign w:val="bottom"/>
                        <w:hideMark/>
                      </w:tcPr>
                      <w:p w:rsidR="006E0B29" w:rsidRPr="006F169C" w:rsidRDefault="000921A7" w:rsidP="006E0B29">
                        <w:pPr>
                          <w:spacing w:after="0"/>
                          <w:rPr>
                            <w:rFonts w:eastAsia="Times New Roman" w:cs="Arial"/>
                            <w:color w:val="000000"/>
                            <w:sz w:val="20"/>
                            <w:szCs w:val="22"/>
                            <w:lang w:val="en-US"/>
                          </w:rPr>
                        </w:pPr>
                        <w:r w:rsidRPr="006F169C">
                          <w:rPr>
                            <w:rFonts w:eastAsia="Times New Roman" w:cs="Arial"/>
                            <w:color w:val="000000"/>
                            <w:sz w:val="20"/>
                            <w:szCs w:val="22"/>
                            <w:lang w:val="en-US"/>
                          </w:rPr>
                          <w:t>Resulting in closure</w:t>
                        </w:r>
                      </w:p>
                    </w:tc>
                    <w:tc>
                      <w:tcPr>
                        <w:tcW w:w="832" w:type="dxa"/>
                        <w:gridSpan w:val="2"/>
                        <w:shd w:val="clear" w:color="auto" w:fill="auto"/>
                        <w:noWrap/>
                        <w:vAlign w:val="center"/>
                        <w:hideMark/>
                      </w:tcPr>
                      <w:p w:rsidR="006E0B29" w:rsidRPr="006F169C" w:rsidRDefault="006F169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97</w:t>
                        </w:r>
                      </w:p>
                    </w:tc>
                    <w:tc>
                      <w:tcPr>
                        <w:tcW w:w="833" w:type="dxa"/>
                        <w:gridSpan w:val="2"/>
                        <w:shd w:val="clear" w:color="auto" w:fill="auto"/>
                        <w:noWrap/>
                        <w:vAlign w:val="center"/>
                        <w:hideMark/>
                      </w:tcPr>
                      <w:p w:rsidR="006E0B29" w:rsidRPr="006F169C" w:rsidRDefault="006F169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95</w:t>
                        </w:r>
                      </w:p>
                    </w:tc>
                    <w:tc>
                      <w:tcPr>
                        <w:tcW w:w="832" w:type="dxa"/>
                        <w:gridSpan w:val="2"/>
                        <w:shd w:val="clear" w:color="auto" w:fill="auto"/>
                        <w:noWrap/>
                        <w:vAlign w:val="center"/>
                        <w:hideMark/>
                      </w:tcPr>
                      <w:p w:rsidR="006E0B29" w:rsidRPr="006F169C" w:rsidRDefault="006F169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68</w:t>
                        </w:r>
                      </w:p>
                    </w:tc>
                    <w:tc>
                      <w:tcPr>
                        <w:tcW w:w="833" w:type="dxa"/>
                        <w:gridSpan w:val="2"/>
                        <w:shd w:val="clear" w:color="auto" w:fill="auto"/>
                        <w:noWrap/>
                        <w:vAlign w:val="center"/>
                        <w:hideMark/>
                      </w:tcPr>
                      <w:p w:rsidR="006E0B29" w:rsidRPr="006F169C" w:rsidRDefault="006F169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82</w:t>
                        </w:r>
                      </w:p>
                    </w:tc>
                    <w:tc>
                      <w:tcPr>
                        <w:tcW w:w="832" w:type="dxa"/>
                        <w:gridSpan w:val="2"/>
                        <w:shd w:val="clear" w:color="auto" w:fill="auto"/>
                        <w:noWrap/>
                        <w:vAlign w:val="center"/>
                        <w:hideMark/>
                      </w:tcPr>
                      <w:p w:rsidR="006E0B29" w:rsidRPr="006F169C" w:rsidRDefault="006F169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65</w:t>
                        </w:r>
                      </w:p>
                    </w:tc>
                    <w:tc>
                      <w:tcPr>
                        <w:tcW w:w="833" w:type="dxa"/>
                        <w:gridSpan w:val="2"/>
                        <w:shd w:val="clear" w:color="auto" w:fill="auto"/>
                        <w:noWrap/>
                        <w:vAlign w:val="center"/>
                        <w:hideMark/>
                      </w:tcPr>
                      <w:p w:rsidR="006E0B29" w:rsidRPr="006F169C" w:rsidRDefault="006F169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43</w:t>
                        </w:r>
                      </w:p>
                    </w:tc>
                    <w:tc>
                      <w:tcPr>
                        <w:tcW w:w="832" w:type="dxa"/>
                        <w:gridSpan w:val="2"/>
                        <w:shd w:val="clear" w:color="auto" w:fill="auto"/>
                        <w:noWrap/>
                        <w:vAlign w:val="center"/>
                        <w:hideMark/>
                      </w:tcPr>
                      <w:p w:rsidR="006E0B29" w:rsidRPr="006F169C" w:rsidRDefault="006F169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29</w:t>
                        </w:r>
                      </w:p>
                    </w:tc>
                    <w:tc>
                      <w:tcPr>
                        <w:tcW w:w="833" w:type="dxa"/>
                        <w:gridSpan w:val="2"/>
                        <w:shd w:val="clear" w:color="auto" w:fill="auto"/>
                        <w:noWrap/>
                        <w:vAlign w:val="center"/>
                        <w:hideMark/>
                      </w:tcPr>
                      <w:p w:rsidR="006E0B29" w:rsidRPr="006F169C" w:rsidRDefault="006F169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49</w:t>
                        </w:r>
                      </w:p>
                    </w:tc>
                    <w:tc>
                      <w:tcPr>
                        <w:tcW w:w="832" w:type="dxa"/>
                        <w:gridSpan w:val="2"/>
                        <w:shd w:val="clear" w:color="auto" w:fill="auto"/>
                        <w:noWrap/>
                        <w:vAlign w:val="center"/>
                      </w:tcPr>
                      <w:p w:rsidR="006E0B29" w:rsidRPr="006F169C" w:rsidRDefault="006F169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37</w:t>
                        </w:r>
                      </w:p>
                    </w:tc>
                    <w:tc>
                      <w:tcPr>
                        <w:tcW w:w="833" w:type="dxa"/>
                        <w:gridSpan w:val="2"/>
                        <w:shd w:val="clear" w:color="auto" w:fill="auto"/>
                        <w:noWrap/>
                        <w:vAlign w:val="center"/>
                        <w:hideMark/>
                      </w:tcPr>
                      <w:p w:rsidR="006E0B29" w:rsidRPr="006F169C" w:rsidRDefault="006E0B29" w:rsidP="00870C15">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6E0B29" w:rsidRPr="006F169C" w:rsidRDefault="006E0B29" w:rsidP="00870C15">
                        <w:pPr>
                          <w:spacing w:after="0"/>
                          <w:jc w:val="center"/>
                          <w:rPr>
                            <w:rFonts w:eastAsia="Times New Roman" w:cs="Arial"/>
                            <w:color w:val="000000"/>
                            <w:sz w:val="18"/>
                            <w:szCs w:val="22"/>
                            <w:lang w:val="en-US"/>
                          </w:rPr>
                        </w:pPr>
                      </w:p>
                    </w:tc>
                    <w:tc>
                      <w:tcPr>
                        <w:tcW w:w="833" w:type="dxa"/>
                        <w:shd w:val="clear" w:color="auto" w:fill="auto"/>
                        <w:noWrap/>
                        <w:vAlign w:val="center"/>
                        <w:hideMark/>
                      </w:tcPr>
                      <w:p w:rsidR="006E0B29" w:rsidRPr="006F169C" w:rsidRDefault="006E0B29" w:rsidP="00870C15">
                        <w:pPr>
                          <w:spacing w:after="0"/>
                          <w:jc w:val="center"/>
                          <w:rPr>
                            <w:rFonts w:eastAsia="Times New Roman" w:cs="Arial"/>
                            <w:color w:val="000000"/>
                            <w:sz w:val="18"/>
                            <w:szCs w:val="22"/>
                            <w:lang w:val="en-US"/>
                          </w:rPr>
                        </w:pPr>
                      </w:p>
                    </w:tc>
                  </w:tr>
                  <w:tr w:rsidR="006F169C" w:rsidRPr="006F169C" w:rsidTr="006F169C">
                    <w:trPr>
                      <w:trHeight w:val="67"/>
                    </w:trPr>
                    <w:tc>
                      <w:tcPr>
                        <w:tcW w:w="4465" w:type="dxa"/>
                        <w:shd w:val="clear" w:color="auto" w:fill="auto"/>
                        <w:noWrap/>
                        <w:vAlign w:val="bottom"/>
                        <w:hideMark/>
                      </w:tcPr>
                      <w:p w:rsidR="006E0B29" w:rsidRPr="006F169C" w:rsidRDefault="000921A7" w:rsidP="006E0B29">
                        <w:pPr>
                          <w:spacing w:after="0"/>
                          <w:rPr>
                            <w:rFonts w:eastAsia="Times New Roman" w:cs="Arial"/>
                            <w:color w:val="000000"/>
                            <w:sz w:val="20"/>
                            <w:szCs w:val="22"/>
                            <w:lang w:val="en-US"/>
                          </w:rPr>
                        </w:pPr>
                        <w:r w:rsidRPr="006F169C">
                          <w:rPr>
                            <w:rFonts w:eastAsia="Times New Roman" w:cs="Arial"/>
                            <w:color w:val="000000"/>
                            <w:sz w:val="20"/>
                            <w:szCs w:val="22"/>
                            <w:lang w:val="en-US"/>
                          </w:rPr>
                          <w:t>Referred for further management under Part 8</w:t>
                        </w:r>
                      </w:p>
                    </w:tc>
                    <w:tc>
                      <w:tcPr>
                        <w:tcW w:w="832"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33</w:t>
                        </w:r>
                      </w:p>
                    </w:tc>
                    <w:tc>
                      <w:tcPr>
                        <w:tcW w:w="833"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53</w:t>
                        </w:r>
                      </w:p>
                    </w:tc>
                    <w:tc>
                      <w:tcPr>
                        <w:tcW w:w="832"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28</w:t>
                        </w:r>
                      </w:p>
                    </w:tc>
                    <w:tc>
                      <w:tcPr>
                        <w:tcW w:w="833"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36</w:t>
                        </w:r>
                      </w:p>
                    </w:tc>
                    <w:tc>
                      <w:tcPr>
                        <w:tcW w:w="832"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21</w:t>
                        </w:r>
                      </w:p>
                    </w:tc>
                    <w:tc>
                      <w:tcPr>
                        <w:tcW w:w="833"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17</w:t>
                        </w:r>
                      </w:p>
                    </w:tc>
                    <w:tc>
                      <w:tcPr>
                        <w:tcW w:w="832"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18</w:t>
                        </w:r>
                      </w:p>
                    </w:tc>
                    <w:tc>
                      <w:tcPr>
                        <w:tcW w:w="833"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11</w:t>
                        </w:r>
                      </w:p>
                    </w:tc>
                    <w:tc>
                      <w:tcPr>
                        <w:tcW w:w="832" w:type="dxa"/>
                        <w:gridSpan w:val="2"/>
                        <w:shd w:val="clear" w:color="auto" w:fill="auto"/>
                        <w:noWrap/>
                        <w:vAlign w:val="center"/>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31</w:t>
                        </w:r>
                      </w:p>
                    </w:tc>
                    <w:tc>
                      <w:tcPr>
                        <w:tcW w:w="833" w:type="dxa"/>
                        <w:gridSpan w:val="2"/>
                        <w:shd w:val="clear" w:color="auto" w:fill="auto"/>
                        <w:noWrap/>
                        <w:vAlign w:val="center"/>
                        <w:hideMark/>
                      </w:tcPr>
                      <w:p w:rsidR="006E0B29" w:rsidRPr="006F169C" w:rsidRDefault="006E0B29" w:rsidP="00870C15">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6E0B29" w:rsidRPr="006F169C" w:rsidRDefault="006E0B29" w:rsidP="00870C15">
                        <w:pPr>
                          <w:spacing w:after="0"/>
                          <w:jc w:val="center"/>
                          <w:rPr>
                            <w:rFonts w:eastAsia="Times New Roman" w:cs="Arial"/>
                            <w:color w:val="000000"/>
                            <w:sz w:val="18"/>
                            <w:szCs w:val="22"/>
                            <w:lang w:val="en-US"/>
                          </w:rPr>
                        </w:pPr>
                      </w:p>
                    </w:tc>
                    <w:tc>
                      <w:tcPr>
                        <w:tcW w:w="833" w:type="dxa"/>
                        <w:shd w:val="clear" w:color="auto" w:fill="auto"/>
                        <w:noWrap/>
                        <w:vAlign w:val="center"/>
                        <w:hideMark/>
                      </w:tcPr>
                      <w:p w:rsidR="006E0B29" w:rsidRPr="006F169C" w:rsidRDefault="006E0B29" w:rsidP="00870C15">
                        <w:pPr>
                          <w:spacing w:after="0"/>
                          <w:jc w:val="center"/>
                          <w:rPr>
                            <w:rFonts w:eastAsia="Times New Roman" w:cs="Arial"/>
                            <w:color w:val="000000"/>
                            <w:sz w:val="18"/>
                            <w:szCs w:val="22"/>
                            <w:lang w:val="en-US"/>
                          </w:rPr>
                        </w:pPr>
                      </w:p>
                    </w:tc>
                  </w:tr>
                  <w:tr w:rsidR="006F169C" w:rsidRPr="006F169C" w:rsidTr="006F169C">
                    <w:trPr>
                      <w:trHeight w:val="67"/>
                    </w:trPr>
                    <w:tc>
                      <w:tcPr>
                        <w:tcW w:w="4465" w:type="dxa"/>
                        <w:shd w:val="clear" w:color="auto" w:fill="auto"/>
                        <w:noWrap/>
                        <w:vAlign w:val="bottom"/>
                        <w:hideMark/>
                      </w:tcPr>
                      <w:p w:rsidR="006E0B29" w:rsidRPr="006F169C" w:rsidRDefault="006E0B29" w:rsidP="006E0B29">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832"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130</w:t>
                        </w:r>
                      </w:p>
                    </w:tc>
                    <w:tc>
                      <w:tcPr>
                        <w:tcW w:w="833"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148</w:t>
                        </w:r>
                      </w:p>
                    </w:tc>
                    <w:tc>
                      <w:tcPr>
                        <w:tcW w:w="832"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96</w:t>
                        </w:r>
                      </w:p>
                    </w:tc>
                    <w:tc>
                      <w:tcPr>
                        <w:tcW w:w="833"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118</w:t>
                        </w:r>
                      </w:p>
                    </w:tc>
                    <w:tc>
                      <w:tcPr>
                        <w:tcW w:w="832"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86</w:t>
                        </w:r>
                      </w:p>
                    </w:tc>
                    <w:tc>
                      <w:tcPr>
                        <w:tcW w:w="833"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60</w:t>
                        </w:r>
                      </w:p>
                    </w:tc>
                    <w:tc>
                      <w:tcPr>
                        <w:tcW w:w="832"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47</w:t>
                        </w:r>
                      </w:p>
                    </w:tc>
                    <w:tc>
                      <w:tcPr>
                        <w:tcW w:w="833" w:type="dxa"/>
                        <w:gridSpan w:val="2"/>
                        <w:shd w:val="clear" w:color="auto" w:fill="auto"/>
                        <w:noWrap/>
                        <w:vAlign w:val="center"/>
                        <w:hideMark/>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60</w:t>
                        </w:r>
                      </w:p>
                    </w:tc>
                    <w:tc>
                      <w:tcPr>
                        <w:tcW w:w="832" w:type="dxa"/>
                        <w:gridSpan w:val="2"/>
                        <w:shd w:val="clear" w:color="auto" w:fill="auto"/>
                        <w:noWrap/>
                        <w:vAlign w:val="center"/>
                      </w:tcPr>
                      <w:p w:rsidR="006E0B29" w:rsidRPr="006F169C" w:rsidRDefault="00394BAC" w:rsidP="00870C15">
                        <w:pPr>
                          <w:spacing w:after="0"/>
                          <w:jc w:val="center"/>
                          <w:rPr>
                            <w:rFonts w:eastAsia="Times New Roman" w:cs="Arial"/>
                            <w:color w:val="000000"/>
                            <w:sz w:val="18"/>
                            <w:szCs w:val="22"/>
                            <w:lang w:val="en-US"/>
                          </w:rPr>
                        </w:pPr>
                        <w:r>
                          <w:rPr>
                            <w:rFonts w:eastAsia="Times New Roman" w:cs="Arial"/>
                            <w:color w:val="000000"/>
                            <w:sz w:val="18"/>
                            <w:szCs w:val="22"/>
                            <w:lang w:val="en-US"/>
                          </w:rPr>
                          <w:t>68</w:t>
                        </w:r>
                      </w:p>
                    </w:tc>
                    <w:tc>
                      <w:tcPr>
                        <w:tcW w:w="833" w:type="dxa"/>
                        <w:gridSpan w:val="2"/>
                        <w:shd w:val="clear" w:color="auto" w:fill="auto"/>
                        <w:noWrap/>
                        <w:vAlign w:val="center"/>
                        <w:hideMark/>
                      </w:tcPr>
                      <w:p w:rsidR="006E0B29" w:rsidRPr="006F169C" w:rsidRDefault="006E0B29" w:rsidP="00870C15">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6E0B29" w:rsidRPr="006F169C" w:rsidRDefault="006E0B29" w:rsidP="00870C15">
                        <w:pPr>
                          <w:spacing w:after="0"/>
                          <w:jc w:val="center"/>
                          <w:rPr>
                            <w:rFonts w:eastAsia="Times New Roman" w:cs="Arial"/>
                            <w:color w:val="000000"/>
                            <w:sz w:val="18"/>
                            <w:szCs w:val="22"/>
                            <w:lang w:val="en-US"/>
                          </w:rPr>
                        </w:pPr>
                      </w:p>
                    </w:tc>
                    <w:tc>
                      <w:tcPr>
                        <w:tcW w:w="833" w:type="dxa"/>
                        <w:shd w:val="clear" w:color="auto" w:fill="auto"/>
                        <w:noWrap/>
                        <w:vAlign w:val="center"/>
                        <w:hideMark/>
                      </w:tcPr>
                      <w:p w:rsidR="006E0B29" w:rsidRPr="006F169C" w:rsidRDefault="006E0B29" w:rsidP="00870C15">
                        <w:pPr>
                          <w:spacing w:after="0"/>
                          <w:jc w:val="center"/>
                          <w:rPr>
                            <w:rFonts w:eastAsia="Times New Roman" w:cs="Arial"/>
                            <w:color w:val="000000"/>
                            <w:sz w:val="18"/>
                            <w:szCs w:val="22"/>
                            <w:lang w:val="en-US"/>
                          </w:rPr>
                        </w:pPr>
                      </w:p>
                    </w:tc>
                  </w:tr>
                </w:tbl>
                <w:p w:rsidR="00E91171" w:rsidRPr="006F169C" w:rsidRDefault="00E91171" w:rsidP="00A17908">
                  <w:pPr>
                    <w:rPr>
                      <w:rFonts w:eastAsia="Times New Roman" w:cs="Arial"/>
                    </w:rPr>
                  </w:pPr>
                </w:p>
              </w:tc>
            </w:tr>
          </w:tbl>
          <w:p w:rsidR="00E91171" w:rsidRPr="006F169C" w:rsidRDefault="00E91171" w:rsidP="00A17908">
            <w:pPr>
              <w:rPr>
                <w:rFonts w:eastAsia="Times New Roman" w:cs="Arial"/>
              </w:rPr>
            </w:pPr>
          </w:p>
        </w:tc>
      </w:tr>
    </w:tbl>
    <w:p w:rsidR="000921A7" w:rsidRPr="006F169C" w:rsidRDefault="000921A7" w:rsidP="000921A7">
      <w:pPr>
        <w:pStyle w:val="AHPRAbody"/>
      </w:pPr>
    </w:p>
    <w:p w:rsidR="000921A7" w:rsidRPr="006F169C" w:rsidRDefault="000921A7" w:rsidP="000921A7">
      <w:pPr>
        <w:pStyle w:val="AHPRADocumentsubheading"/>
      </w:pPr>
      <w:r w:rsidRPr="006F169C">
        <w:t>Timeliness of completed assessments resulting in closure*</w:t>
      </w:r>
    </w:p>
    <w:tbl>
      <w:tblPr>
        <w:tblW w:w="14120" w:type="dxa"/>
        <w:tblLook w:val="04A0" w:firstRow="1" w:lastRow="0" w:firstColumn="1" w:lastColumn="0" w:noHBand="0" w:noVBand="1"/>
      </w:tblPr>
      <w:tblGrid>
        <w:gridCol w:w="2960"/>
        <w:gridCol w:w="920"/>
        <w:gridCol w:w="920"/>
        <w:gridCol w:w="920"/>
        <w:gridCol w:w="920"/>
        <w:gridCol w:w="920"/>
        <w:gridCol w:w="920"/>
        <w:gridCol w:w="920"/>
        <w:gridCol w:w="920"/>
        <w:gridCol w:w="920"/>
        <w:gridCol w:w="960"/>
        <w:gridCol w:w="960"/>
        <w:gridCol w:w="960"/>
      </w:tblGrid>
      <w:tr w:rsidR="000921A7" w:rsidRPr="006F169C" w:rsidTr="00CD74A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1A7" w:rsidRPr="006F169C" w:rsidRDefault="000921A7" w:rsidP="00CD74A9">
            <w:pPr>
              <w:spacing w:after="0"/>
              <w:rPr>
                <w:rFonts w:eastAsia="Times New Roman" w:cs="Arial"/>
                <w:color w:val="000000"/>
                <w:sz w:val="20"/>
                <w:szCs w:val="22"/>
                <w:lang w:val="en-US"/>
              </w:rPr>
            </w:pPr>
            <w:r w:rsidRPr="006F169C">
              <w:rPr>
                <w:rFonts w:eastAsia="Times New Roman" w:cs="Arial"/>
                <w:color w:val="000000"/>
                <w:sz w:val="20"/>
                <w:szCs w:val="22"/>
                <w:lang w:val="en-US"/>
              </w:rPr>
              <w:t>Assessment</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0921A7" w:rsidRPr="006F169C" w:rsidRDefault="000921A7"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Jul</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0921A7" w:rsidRPr="006F169C" w:rsidRDefault="000921A7"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Aug</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0921A7" w:rsidRPr="006F169C" w:rsidRDefault="000921A7"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Sep</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0921A7" w:rsidRPr="006F169C" w:rsidRDefault="000921A7"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Oct</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0921A7" w:rsidRPr="006F169C" w:rsidRDefault="000921A7"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Nov</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0921A7" w:rsidRPr="006F169C" w:rsidRDefault="000921A7"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Dec</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0921A7" w:rsidRPr="006F169C" w:rsidRDefault="000921A7"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Jan</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0921A7" w:rsidRPr="006F169C" w:rsidRDefault="000921A7"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Feb</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0921A7" w:rsidRPr="006F169C" w:rsidRDefault="000921A7"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0921A7" w:rsidRPr="006F169C" w:rsidRDefault="000921A7"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Apr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0921A7" w:rsidRPr="006F169C" w:rsidRDefault="000921A7"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May</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0921A7" w:rsidRPr="006F169C" w:rsidRDefault="000921A7" w:rsidP="00CD74A9">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Jun</w:t>
            </w:r>
          </w:p>
        </w:tc>
      </w:tr>
      <w:tr w:rsidR="000921A7" w:rsidRPr="006F169C" w:rsidTr="00CD74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0921A7" w:rsidRPr="006F169C" w:rsidRDefault="000921A7" w:rsidP="00CD74A9">
            <w:pPr>
              <w:spacing w:after="0"/>
              <w:rPr>
                <w:rFonts w:eastAsia="Times New Roman" w:cs="Arial"/>
                <w:color w:val="000000"/>
                <w:sz w:val="20"/>
                <w:szCs w:val="22"/>
                <w:lang w:val="en-US"/>
              </w:rPr>
            </w:pPr>
            <w:r w:rsidRPr="006F169C">
              <w:rPr>
                <w:rFonts w:eastAsia="Times New Roman" w:cs="Arial"/>
                <w:color w:val="000000"/>
                <w:sz w:val="20"/>
                <w:szCs w:val="22"/>
                <w:lang w:val="en-US"/>
              </w:rPr>
              <w:lastRenderedPageBreak/>
              <w:t>up to 30 days</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6</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6</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6</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7</w:t>
            </w:r>
          </w:p>
        </w:tc>
        <w:tc>
          <w:tcPr>
            <w:tcW w:w="960" w:type="dxa"/>
            <w:tcBorders>
              <w:top w:val="nil"/>
              <w:left w:val="nil"/>
              <w:bottom w:val="single" w:sz="4" w:space="0" w:color="auto"/>
              <w:right w:val="single" w:sz="4" w:space="0" w:color="auto"/>
            </w:tcBorders>
            <w:shd w:val="clear" w:color="auto" w:fill="auto"/>
            <w:noWrap/>
            <w:vAlign w:val="center"/>
          </w:tcPr>
          <w:p w:rsidR="000921A7" w:rsidRPr="006F169C" w:rsidRDefault="000921A7"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0921A7" w:rsidRPr="006F169C" w:rsidRDefault="000921A7"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0921A7" w:rsidRPr="006F169C" w:rsidRDefault="000921A7" w:rsidP="00CD74A9">
            <w:pPr>
              <w:spacing w:after="0"/>
              <w:jc w:val="center"/>
              <w:rPr>
                <w:rFonts w:eastAsia="Times New Roman" w:cs="Arial"/>
                <w:color w:val="000000"/>
                <w:sz w:val="18"/>
                <w:szCs w:val="22"/>
                <w:lang w:val="en-US"/>
              </w:rPr>
            </w:pPr>
          </w:p>
        </w:tc>
      </w:tr>
      <w:tr w:rsidR="000921A7" w:rsidRPr="006F169C" w:rsidTr="00CD74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0921A7" w:rsidRPr="006F169C" w:rsidRDefault="000921A7" w:rsidP="00CD74A9">
            <w:pPr>
              <w:spacing w:after="0"/>
              <w:rPr>
                <w:rFonts w:eastAsia="Times New Roman" w:cs="Arial"/>
                <w:color w:val="000000"/>
                <w:sz w:val="20"/>
                <w:szCs w:val="22"/>
                <w:lang w:val="en-US"/>
              </w:rPr>
            </w:pPr>
            <w:r w:rsidRPr="006F169C">
              <w:rPr>
                <w:rFonts w:eastAsia="Times New Roman" w:cs="Arial"/>
                <w:color w:val="000000"/>
                <w:sz w:val="20"/>
                <w:szCs w:val="22"/>
                <w:lang w:val="en-US"/>
              </w:rPr>
              <w:t>30 to 60 days</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51</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28</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22</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41</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32</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25</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14</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22</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16</w:t>
            </w:r>
          </w:p>
        </w:tc>
        <w:tc>
          <w:tcPr>
            <w:tcW w:w="960" w:type="dxa"/>
            <w:tcBorders>
              <w:top w:val="nil"/>
              <w:left w:val="nil"/>
              <w:bottom w:val="single" w:sz="4" w:space="0" w:color="auto"/>
              <w:right w:val="single" w:sz="4" w:space="0" w:color="auto"/>
            </w:tcBorders>
            <w:shd w:val="clear" w:color="auto" w:fill="auto"/>
            <w:noWrap/>
            <w:vAlign w:val="center"/>
          </w:tcPr>
          <w:p w:rsidR="000921A7" w:rsidRPr="006F169C" w:rsidRDefault="000921A7"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0921A7" w:rsidRPr="006F169C" w:rsidRDefault="000921A7"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0921A7" w:rsidRPr="006F169C" w:rsidRDefault="000921A7" w:rsidP="00CD74A9">
            <w:pPr>
              <w:spacing w:after="0"/>
              <w:jc w:val="center"/>
              <w:rPr>
                <w:rFonts w:eastAsia="Times New Roman" w:cs="Arial"/>
                <w:color w:val="000000"/>
                <w:sz w:val="18"/>
                <w:szCs w:val="22"/>
                <w:lang w:val="en-US"/>
              </w:rPr>
            </w:pPr>
          </w:p>
        </w:tc>
      </w:tr>
      <w:tr w:rsidR="000921A7" w:rsidRPr="006F169C" w:rsidTr="00CD74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0921A7" w:rsidRPr="006F169C" w:rsidRDefault="000921A7" w:rsidP="00CD74A9">
            <w:pPr>
              <w:spacing w:after="0"/>
              <w:rPr>
                <w:rFonts w:eastAsia="Times New Roman" w:cs="Arial"/>
                <w:color w:val="000000"/>
                <w:sz w:val="20"/>
                <w:szCs w:val="22"/>
                <w:lang w:val="en-US"/>
              </w:rPr>
            </w:pPr>
            <w:r w:rsidRPr="006F169C">
              <w:rPr>
                <w:rFonts w:eastAsia="Times New Roman" w:cs="Arial"/>
                <w:color w:val="000000"/>
                <w:sz w:val="20"/>
                <w:szCs w:val="22"/>
                <w:lang w:val="en-US"/>
              </w:rPr>
              <w:t>over 60 days</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38</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65</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45</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35</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25</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12</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12</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21</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AA7B5A"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14</w:t>
            </w:r>
          </w:p>
        </w:tc>
        <w:tc>
          <w:tcPr>
            <w:tcW w:w="960" w:type="dxa"/>
            <w:tcBorders>
              <w:top w:val="nil"/>
              <w:left w:val="nil"/>
              <w:bottom w:val="single" w:sz="4" w:space="0" w:color="auto"/>
              <w:right w:val="single" w:sz="4" w:space="0" w:color="auto"/>
            </w:tcBorders>
            <w:shd w:val="clear" w:color="auto" w:fill="auto"/>
            <w:noWrap/>
            <w:vAlign w:val="center"/>
          </w:tcPr>
          <w:p w:rsidR="000921A7" w:rsidRPr="006F169C" w:rsidRDefault="000921A7"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0921A7" w:rsidRPr="006F169C" w:rsidRDefault="000921A7"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0921A7" w:rsidRPr="006F169C" w:rsidRDefault="000921A7" w:rsidP="00CD74A9">
            <w:pPr>
              <w:spacing w:after="0"/>
              <w:jc w:val="center"/>
              <w:rPr>
                <w:rFonts w:eastAsia="Times New Roman" w:cs="Arial"/>
                <w:color w:val="000000"/>
                <w:sz w:val="18"/>
                <w:szCs w:val="22"/>
                <w:lang w:val="en-US"/>
              </w:rPr>
            </w:pPr>
          </w:p>
        </w:tc>
      </w:tr>
      <w:tr w:rsidR="000921A7" w:rsidRPr="006F169C" w:rsidTr="00CD74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0921A7" w:rsidRPr="006F169C" w:rsidRDefault="000921A7" w:rsidP="00CD74A9">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6F169C"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97</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6F169C"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95</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CD74A9"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68</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CD74A9"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82</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CD74A9"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65</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CD74A9"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43</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CD74A9"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29</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CD74A9"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49</w:t>
            </w:r>
          </w:p>
        </w:tc>
        <w:tc>
          <w:tcPr>
            <w:tcW w:w="920" w:type="dxa"/>
            <w:tcBorders>
              <w:top w:val="nil"/>
              <w:left w:val="nil"/>
              <w:bottom w:val="single" w:sz="4" w:space="0" w:color="auto"/>
              <w:right w:val="single" w:sz="4" w:space="0" w:color="auto"/>
            </w:tcBorders>
            <w:shd w:val="clear" w:color="auto" w:fill="auto"/>
            <w:noWrap/>
            <w:vAlign w:val="center"/>
          </w:tcPr>
          <w:p w:rsidR="000921A7" w:rsidRPr="006F169C" w:rsidRDefault="00CD74A9" w:rsidP="00CD74A9">
            <w:pPr>
              <w:spacing w:after="0"/>
              <w:jc w:val="center"/>
              <w:rPr>
                <w:rFonts w:eastAsia="Times New Roman" w:cs="Arial"/>
                <w:color w:val="000000"/>
                <w:sz w:val="18"/>
                <w:szCs w:val="22"/>
                <w:lang w:val="en-US"/>
              </w:rPr>
            </w:pPr>
            <w:r>
              <w:rPr>
                <w:rFonts w:eastAsia="Times New Roman" w:cs="Arial"/>
                <w:color w:val="000000"/>
                <w:sz w:val="18"/>
                <w:szCs w:val="22"/>
                <w:lang w:val="en-US"/>
              </w:rPr>
              <w:t>37</w:t>
            </w:r>
          </w:p>
        </w:tc>
        <w:tc>
          <w:tcPr>
            <w:tcW w:w="960" w:type="dxa"/>
            <w:tcBorders>
              <w:top w:val="nil"/>
              <w:left w:val="nil"/>
              <w:bottom w:val="single" w:sz="4" w:space="0" w:color="auto"/>
              <w:right w:val="single" w:sz="4" w:space="0" w:color="auto"/>
            </w:tcBorders>
            <w:shd w:val="clear" w:color="auto" w:fill="auto"/>
            <w:noWrap/>
            <w:vAlign w:val="center"/>
          </w:tcPr>
          <w:p w:rsidR="000921A7" w:rsidRPr="006F169C" w:rsidRDefault="000921A7"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0921A7" w:rsidRPr="006F169C" w:rsidRDefault="000921A7" w:rsidP="00CD74A9">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0921A7" w:rsidRPr="006F169C" w:rsidRDefault="000921A7" w:rsidP="00CD74A9">
            <w:pPr>
              <w:spacing w:after="0"/>
              <w:jc w:val="center"/>
              <w:rPr>
                <w:rFonts w:eastAsia="Times New Roman" w:cs="Arial"/>
                <w:color w:val="000000"/>
                <w:sz w:val="18"/>
                <w:szCs w:val="22"/>
                <w:lang w:val="en-US"/>
              </w:rPr>
            </w:pPr>
          </w:p>
        </w:tc>
      </w:tr>
    </w:tbl>
    <w:p w:rsidR="000921A7" w:rsidRPr="006F169C" w:rsidRDefault="000921A7" w:rsidP="000921A7">
      <w:pPr>
        <w:pStyle w:val="AHPRAbody"/>
      </w:pPr>
    </w:p>
    <w:p w:rsidR="000921A7" w:rsidRPr="006F169C" w:rsidRDefault="00FB75DE" w:rsidP="000921A7">
      <w:pPr>
        <w:pStyle w:val="AHPRAbody"/>
      </w:pPr>
      <w:r>
        <w:t>These tables</w:t>
      </w:r>
      <w:r w:rsidR="000921A7" w:rsidRPr="006F169C">
        <w:t xml:space="preserve"> show the number of completed assessments about practitioners with a PPP in Queensland closed by a National Board in each month, including the number of days that the complaint remained open. </w:t>
      </w:r>
    </w:p>
    <w:p w:rsidR="000921A7" w:rsidRPr="006F169C" w:rsidRDefault="000921A7" w:rsidP="000921A7">
      <w:pPr>
        <w:pStyle w:val="AHPRAbody"/>
      </w:pPr>
      <w:r w:rsidRPr="006F169C">
        <w:t xml:space="preserve">After completing a preliminary assessment of a matter, Boards have the power to take no further action, refer the matter for health assessment, refer the matter for performance assessment, refer the matter for hearing by a panel or the responsible tribunal, or to take a form of action under Division 10 of Part 8 of the National Law. If a Board proposes to take action under Division 10 of Part 8 of the National Law, it must undertake a show cause process. This process means that the final assessment decision will not occur until after the conclusion of the show cause process. </w:t>
      </w:r>
    </w:p>
    <w:p w:rsidR="000921A7" w:rsidRPr="006F169C" w:rsidRDefault="000921A7" w:rsidP="000921A7">
      <w:pPr>
        <w:pStyle w:val="AHPRAbody"/>
      </w:pPr>
      <w:r w:rsidRPr="006F169C">
        <w:t>Note that after a Board decision to take no further action in relation to an assessment or to take action under Division 10 of Part 8, some matters may remain open to enable administrative processes to be completed.</w:t>
      </w:r>
    </w:p>
    <w:p w:rsidR="000921A7" w:rsidRPr="006F169C" w:rsidRDefault="000921A7" w:rsidP="000921A7">
      <w:pPr>
        <w:pStyle w:val="AHPRAbody"/>
        <w:spacing w:before="120"/>
      </w:pPr>
      <w:r w:rsidRPr="006F169C">
        <w:t>* Matters completed which do not result in closure are referred to another stage for further management under part 8 of the National Law. Further management includes investigation, health or performance assessment, referral to a panel hearing, or referral to a responsible tribunal</w:t>
      </w:r>
    </w:p>
    <w:p w:rsidR="000921A7" w:rsidRPr="006F169C" w:rsidRDefault="000921A7">
      <w:pPr>
        <w:spacing w:after="0"/>
        <w:rPr>
          <w:rFonts w:cs="Arial"/>
          <w:sz w:val="20"/>
        </w:rPr>
      </w:pPr>
      <w:r w:rsidRPr="006F169C">
        <w:rPr>
          <w:rFonts w:cs="Arial"/>
        </w:rPr>
        <w:br w:type="page"/>
      </w:r>
    </w:p>
    <w:p w:rsidR="00E91171" w:rsidRPr="006F169C" w:rsidRDefault="00FE5126" w:rsidP="00FE5126">
      <w:pPr>
        <w:pStyle w:val="AHPRADocumentsubheading"/>
      </w:pPr>
      <w:r w:rsidRPr="006F169C">
        <w:lastRenderedPageBreak/>
        <w:t>Outcomes</w:t>
      </w:r>
      <w:r w:rsidR="000921A7" w:rsidRPr="006F169C">
        <w:t>*</w:t>
      </w:r>
      <w:r w:rsidRPr="006F169C">
        <w:t xml:space="preserve"> of completed assessment</w:t>
      </w:r>
      <w:r w:rsidR="000921A7" w:rsidRPr="006F169C">
        <w:t>s resulting in closure</w:t>
      </w:r>
    </w:p>
    <w:tbl>
      <w:tblPr>
        <w:tblW w:w="14120" w:type="dxa"/>
        <w:tblLook w:val="04A0" w:firstRow="1" w:lastRow="0" w:firstColumn="1" w:lastColumn="0" w:noHBand="0" w:noVBand="1"/>
      </w:tblPr>
      <w:tblGrid>
        <w:gridCol w:w="2960"/>
        <w:gridCol w:w="920"/>
        <w:gridCol w:w="920"/>
        <w:gridCol w:w="920"/>
        <w:gridCol w:w="920"/>
        <w:gridCol w:w="920"/>
        <w:gridCol w:w="920"/>
        <w:gridCol w:w="920"/>
        <w:gridCol w:w="920"/>
        <w:gridCol w:w="920"/>
        <w:gridCol w:w="960"/>
        <w:gridCol w:w="960"/>
        <w:gridCol w:w="960"/>
      </w:tblGrid>
      <w:tr w:rsidR="009F7919"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919" w:rsidRPr="006F169C" w:rsidRDefault="009F7919" w:rsidP="00D50BC1">
            <w:pPr>
              <w:spacing w:after="0"/>
              <w:rPr>
                <w:rFonts w:eastAsia="Times New Roman" w:cs="Arial"/>
                <w:color w:val="000000"/>
                <w:sz w:val="20"/>
                <w:szCs w:val="22"/>
                <w:lang w:val="en-US"/>
              </w:rPr>
            </w:pP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Jul</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Aug</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Sep</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Oct</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Nov</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Dec</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Jan</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Feb</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Mar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Apr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May</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Jun</w:t>
            </w:r>
          </w:p>
        </w:tc>
      </w:tr>
      <w:tr w:rsidR="009F7919" w:rsidRPr="006F169C" w:rsidTr="009F791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919" w:rsidRPr="006F169C" w:rsidRDefault="009F7919" w:rsidP="00D50BC1">
            <w:pPr>
              <w:spacing w:after="0"/>
              <w:rPr>
                <w:rFonts w:eastAsia="Times New Roman" w:cs="Arial"/>
                <w:color w:val="000000"/>
                <w:sz w:val="20"/>
                <w:szCs w:val="22"/>
                <w:lang w:val="en-US"/>
              </w:rPr>
            </w:pPr>
            <w:r>
              <w:rPr>
                <w:rFonts w:eastAsia="Times New Roman" w:cs="Arial"/>
                <w:color w:val="000000"/>
                <w:sz w:val="20"/>
                <w:szCs w:val="22"/>
                <w:lang w:val="en-US"/>
              </w:rPr>
              <w:t>Accept undertaking</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3</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p>
        </w:tc>
      </w:tr>
      <w:tr w:rsidR="009F7919" w:rsidRPr="006F169C" w:rsidTr="009F791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919" w:rsidRPr="006F169C" w:rsidRDefault="009F7919" w:rsidP="00D50BC1">
            <w:pPr>
              <w:spacing w:after="0"/>
              <w:rPr>
                <w:rFonts w:eastAsia="Times New Roman" w:cs="Arial"/>
                <w:color w:val="000000"/>
                <w:sz w:val="20"/>
                <w:szCs w:val="22"/>
                <w:lang w:val="en-US"/>
              </w:rPr>
            </w:pPr>
            <w:r>
              <w:rPr>
                <w:rFonts w:eastAsia="Times New Roman" w:cs="Arial"/>
                <w:color w:val="000000"/>
                <w:sz w:val="20"/>
                <w:szCs w:val="22"/>
                <w:lang w:val="en-US"/>
              </w:rPr>
              <w:t>Caution</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22</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14</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16</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12</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9</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15</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11</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9F7919" w:rsidRPr="009F7919" w:rsidRDefault="009F7919" w:rsidP="00D50BC1">
            <w:pPr>
              <w:spacing w:after="0"/>
              <w:jc w:val="center"/>
              <w:rPr>
                <w:rFonts w:eastAsia="Times New Roman" w:cs="Arial"/>
                <w:color w:val="000000"/>
                <w:sz w:val="18"/>
                <w:szCs w:val="18"/>
                <w:lang w:val="en-US"/>
              </w:rPr>
            </w:pPr>
          </w:p>
        </w:tc>
      </w:tr>
      <w:tr w:rsidR="009F7919" w:rsidRPr="006F169C" w:rsidTr="009F791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9F7919" w:rsidRPr="006F169C" w:rsidRDefault="009F7919" w:rsidP="00D50BC1">
            <w:pPr>
              <w:spacing w:after="0"/>
              <w:rPr>
                <w:rFonts w:eastAsia="Times New Roman" w:cs="Arial"/>
                <w:color w:val="000000"/>
                <w:sz w:val="20"/>
                <w:szCs w:val="22"/>
                <w:lang w:val="en-US"/>
              </w:rPr>
            </w:pPr>
            <w:r>
              <w:rPr>
                <w:rFonts w:eastAsia="Times New Roman" w:cs="Arial"/>
                <w:color w:val="000000"/>
                <w:sz w:val="20"/>
                <w:szCs w:val="22"/>
                <w:lang w:val="en-US"/>
              </w:rPr>
              <w:t>Impose conditions</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7</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5</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9</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7</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6</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10</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6</w:t>
            </w:r>
          </w:p>
        </w:tc>
        <w:tc>
          <w:tcPr>
            <w:tcW w:w="96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p>
        </w:tc>
      </w:tr>
      <w:tr w:rsidR="009F7919" w:rsidRPr="006F169C" w:rsidTr="009F791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9F7919" w:rsidRPr="006F169C" w:rsidRDefault="009F7919" w:rsidP="00D50BC1">
            <w:pPr>
              <w:spacing w:after="0"/>
              <w:rPr>
                <w:rFonts w:eastAsia="Times New Roman" w:cs="Arial"/>
                <w:color w:val="000000"/>
                <w:sz w:val="20"/>
                <w:szCs w:val="22"/>
                <w:lang w:val="en-US"/>
              </w:rPr>
            </w:pPr>
            <w:r>
              <w:rPr>
                <w:rFonts w:eastAsia="Times New Roman" w:cs="Arial"/>
                <w:color w:val="000000"/>
                <w:sz w:val="20"/>
                <w:szCs w:val="22"/>
                <w:lang w:val="en-US"/>
              </w:rPr>
              <w:t>No further action</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67</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75</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51</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57</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40</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27</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15</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24</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20</w:t>
            </w:r>
          </w:p>
        </w:tc>
        <w:tc>
          <w:tcPr>
            <w:tcW w:w="96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p>
        </w:tc>
      </w:tr>
      <w:tr w:rsidR="009F7919" w:rsidRPr="006F169C" w:rsidTr="009F791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9F7919" w:rsidRPr="006F169C" w:rsidRDefault="00E558D7" w:rsidP="00D50BC1">
            <w:pPr>
              <w:spacing w:after="0"/>
              <w:rPr>
                <w:rFonts w:eastAsia="Times New Roman" w:cs="Arial"/>
                <w:color w:val="000000"/>
                <w:sz w:val="20"/>
                <w:szCs w:val="22"/>
                <w:lang w:val="en-US"/>
              </w:rPr>
            </w:pPr>
            <w:r>
              <w:rPr>
                <w:rFonts w:eastAsia="Times New Roman" w:cs="Arial"/>
                <w:color w:val="000000"/>
                <w:sz w:val="20"/>
                <w:szCs w:val="22"/>
                <w:lang w:val="en-US"/>
              </w:rPr>
              <w:t>Practitioner surrender</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p>
        </w:tc>
      </w:tr>
      <w:tr w:rsidR="009F7919"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9F7919" w:rsidRPr="006F169C" w:rsidRDefault="009F7919"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99</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97</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71</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83</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E558D7"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66</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47</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28</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52</w:t>
            </w:r>
          </w:p>
        </w:tc>
        <w:tc>
          <w:tcPr>
            <w:tcW w:w="92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40</w:t>
            </w:r>
          </w:p>
        </w:tc>
        <w:tc>
          <w:tcPr>
            <w:tcW w:w="96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9F7919" w:rsidRPr="009F7919" w:rsidRDefault="009F7919" w:rsidP="00D50BC1">
            <w:pPr>
              <w:spacing w:after="0"/>
              <w:jc w:val="center"/>
              <w:rPr>
                <w:rFonts w:eastAsia="Times New Roman" w:cs="Arial"/>
                <w:color w:val="000000"/>
                <w:sz w:val="18"/>
                <w:szCs w:val="18"/>
                <w:lang w:val="en-US"/>
              </w:rPr>
            </w:pPr>
          </w:p>
        </w:tc>
      </w:tr>
    </w:tbl>
    <w:p w:rsidR="006E0B29" w:rsidRPr="006F169C" w:rsidRDefault="006E0B29" w:rsidP="00FE5126">
      <w:pPr>
        <w:pStyle w:val="AHPRAbody"/>
        <w:spacing w:before="120"/>
      </w:pPr>
    </w:p>
    <w:p w:rsidR="00FE5126" w:rsidRPr="006F169C" w:rsidRDefault="00FE5126" w:rsidP="00FE5126">
      <w:pPr>
        <w:pStyle w:val="AHPRAbody"/>
        <w:spacing w:before="120"/>
      </w:pPr>
      <w:r w:rsidRPr="006F169C">
        <w:t xml:space="preserve">This </w:t>
      </w:r>
      <w:r w:rsidR="00307879" w:rsidRPr="006F169C">
        <w:t xml:space="preserve">table </w:t>
      </w:r>
      <w:r w:rsidRPr="006F169C">
        <w:t>shows the outcomes of each assessment completed by a National Board or its delegate about a complaint about a registered practitioner with                                              a PPP of Queensland by quarter.</w:t>
      </w:r>
    </w:p>
    <w:p w:rsidR="00BC3466" w:rsidRPr="006F169C" w:rsidRDefault="000921A7" w:rsidP="00FE5126">
      <w:pPr>
        <w:pStyle w:val="AHPRAbody"/>
        <w:spacing w:before="120"/>
      </w:pPr>
      <w:r w:rsidRPr="006F169C">
        <w:t xml:space="preserve">*A completed notification may have more than one outcome. </w:t>
      </w:r>
    </w:p>
    <w:p w:rsidR="00BC3466" w:rsidRPr="006F169C" w:rsidRDefault="00BC3466" w:rsidP="00FE5126">
      <w:pPr>
        <w:pStyle w:val="AHPRAbody"/>
        <w:spacing w:before="120"/>
      </w:pPr>
    </w:p>
    <w:p w:rsidR="00BC3466" w:rsidRPr="006F169C" w:rsidRDefault="00BC3466" w:rsidP="00FE5126">
      <w:pPr>
        <w:pStyle w:val="AHPRAbody"/>
        <w:spacing w:before="120"/>
      </w:pPr>
    </w:p>
    <w:p w:rsidR="00BC3466" w:rsidRPr="006F169C" w:rsidRDefault="00BC3466" w:rsidP="00FE5126">
      <w:pPr>
        <w:pStyle w:val="AHPRAbody"/>
        <w:spacing w:before="120"/>
      </w:pPr>
    </w:p>
    <w:p w:rsidR="00BC3466" w:rsidRPr="006F169C" w:rsidRDefault="00BC3466" w:rsidP="00FE5126">
      <w:pPr>
        <w:pStyle w:val="AHPRAbody"/>
        <w:spacing w:before="120"/>
      </w:pPr>
    </w:p>
    <w:p w:rsidR="00BC3466" w:rsidRPr="006F169C" w:rsidRDefault="00BC3466" w:rsidP="00FE5126">
      <w:pPr>
        <w:pStyle w:val="AHPRAbody"/>
        <w:spacing w:before="120"/>
      </w:pPr>
    </w:p>
    <w:p w:rsidR="000921A7" w:rsidRPr="006F169C" w:rsidRDefault="000921A7">
      <w:pPr>
        <w:spacing w:after="0"/>
        <w:rPr>
          <w:rFonts w:cs="Arial"/>
          <w:color w:val="5F6062"/>
          <w:sz w:val="28"/>
          <w:szCs w:val="52"/>
        </w:rPr>
      </w:pPr>
      <w:r w:rsidRPr="006F169C">
        <w:rPr>
          <w:rFonts w:cs="Arial"/>
        </w:rPr>
        <w:br w:type="page"/>
      </w:r>
    </w:p>
    <w:p w:rsidR="00BC3466" w:rsidRPr="006F169C" w:rsidRDefault="00BC3466" w:rsidP="00BC3466">
      <w:pPr>
        <w:pStyle w:val="AHPRADocumentsubheading"/>
      </w:pPr>
      <w:r w:rsidRPr="006F169C">
        <w:lastRenderedPageBreak/>
        <w:t>Timeliness of open matters in investigation</w:t>
      </w:r>
    </w:p>
    <w:p w:rsidR="00BC3466" w:rsidRPr="006F169C" w:rsidRDefault="00BC3466" w:rsidP="00FE5126">
      <w:pPr>
        <w:pStyle w:val="AHPRAbody"/>
        <w:spacing w:before="120"/>
      </w:pPr>
      <w:r w:rsidRPr="006F169C">
        <w:rPr>
          <w:noProof/>
          <w:lang w:eastAsia="en-AU"/>
        </w:rPr>
        <w:drawing>
          <wp:inline distT="0" distB="0" distL="0" distR="0">
            <wp:extent cx="9210675" cy="27432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3466" w:rsidRPr="006F169C" w:rsidRDefault="00BC3466" w:rsidP="00FE5126">
      <w:pPr>
        <w:pStyle w:val="AHPRAbody"/>
        <w:spacing w:before="120"/>
      </w:pPr>
    </w:p>
    <w:tbl>
      <w:tblPr>
        <w:tblW w:w="14704" w:type="dxa"/>
        <w:tblInd w:w="108" w:type="dxa"/>
        <w:tblLook w:val="04A0" w:firstRow="1" w:lastRow="0" w:firstColumn="1" w:lastColumn="0" w:noHBand="0" w:noVBand="1"/>
      </w:tblPr>
      <w:tblGrid>
        <w:gridCol w:w="3448"/>
        <w:gridCol w:w="928"/>
        <w:gridCol w:w="928"/>
        <w:gridCol w:w="928"/>
        <w:gridCol w:w="928"/>
        <w:gridCol w:w="928"/>
        <w:gridCol w:w="928"/>
        <w:gridCol w:w="928"/>
        <w:gridCol w:w="928"/>
        <w:gridCol w:w="928"/>
        <w:gridCol w:w="968"/>
        <w:gridCol w:w="968"/>
        <w:gridCol w:w="968"/>
      </w:tblGrid>
      <w:tr w:rsidR="009E4A67" w:rsidRPr="006F169C" w:rsidTr="00870C15">
        <w:trPr>
          <w:trHeight w:val="300"/>
        </w:trPr>
        <w:tc>
          <w:tcPr>
            <w:tcW w:w="3448" w:type="dxa"/>
            <w:tcBorders>
              <w:top w:val="nil"/>
              <w:left w:val="nil"/>
              <w:bottom w:val="single" w:sz="4" w:space="0" w:color="auto"/>
              <w:right w:val="single" w:sz="4" w:space="0" w:color="auto"/>
            </w:tcBorders>
            <w:shd w:val="clear" w:color="auto" w:fill="auto"/>
            <w:noWrap/>
            <w:hideMark/>
          </w:tcPr>
          <w:p w:rsidR="009E4A67" w:rsidRPr="006F169C" w:rsidRDefault="009E4A67" w:rsidP="009E4A67">
            <w:pPr>
              <w:spacing w:after="0"/>
              <w:rPr>
                <w:rFonts w:eastAsia="Times New Roman" w:cs="Arial"/>
                <w:color w:val="000000"/>
                <w:sz w:val="20"/>
                <w:szCs w:val="22"/>
                <w:lang w:eastAsia="en-AU"/>
              </w:rPr>
            </w:pPr>
            <w:r w:rsidRPr="006F169C">
              <w:rPr>
                <w:rFonts w:eastAsia="Times New Roman" w:cs="Arial"/>
                <w:color w:val="000000"/>
                <w:sz w:val="20"/>
                <w:szCs w:val="22"/>
                <w:lang w:eastAsia="en-AU"/>
              </w:rPr>
              <w:t>Investigation</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Jul</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Aug</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Sep</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Oct</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Nov</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Dec</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Jan</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Feb</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Mar</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Apr</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May</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Jun</w:t>
            </w: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6F169C" w:rsidRDefault="009E4A67" w:rsidP="00870C15">
            <w:pPr>
              <w:spacing w:after="0"/>
              <w:rPr>
                <w:rFonts w:eastAsia="Times New Roman" w:cs="Arial"/>
                <w:color w:val="000000"/>
                <w:sz w:val="20"/>
                <w:szCs w:val="22"/>
                <w:lang w:eastAsia="en-AU"/>
              </w:rPr>
            </w:pPr>
            <w:r w:rsidRPr="006F169C">
              <w:rPr>
                <w:rFonts w:eastAsia="Times New Roman" w:cs="Arial"/>
                <w:color w:val="000000"/>
                <w:sz w:val="20"/>
                <w:szCs w:val="22"/>
                <w:lang w:eastAsia="en-AU"/>
              </w:rPr>
              <w:t>0 - 6 months</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135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139</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121</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115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113</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106</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106</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87</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94</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6F169C" w:rsidRDefault="009E4A67" w:rsidP="00870C15">
            <w:pPr>
              <w:spacing w:after="0"/>
              <w:rPr>
                <w:rFonts w:eastAsia="Times New Roman" w:cs="Arial"/>
                <w:color w:val="000000"/>
                <w:sz w:val="20"/>
                <w:szCs w:val="22"/>
                <w:lang w:eastAsia="en-AU"/>
              </w:rPr>
            </w:pPr>
            <w:r w:rsidRPr="006F169C">
              <w:rPr>
                <w:rFonts w:eastAsia="Times New Roman" w:cs="Arial"/>
                <w:color w:val="000000"/>
                <w:sz w:val="20"/>
                <w:szCs w:val="22"/>
                <w:lang w:eastAsia="en-AU"/>
              </w:rPr>
              <w:t>6 - 12 months</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179</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161</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165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134</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109</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105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99</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103</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93</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6F169C" w:rsidRDefault="009E4A67" w:rsidP="00870C15">
            <w:pPr>
              <w:spacing w:after="0"/>
              <w:rPr>
                <w:rFonts w:eastAsia="Times New Roman" w:cs="Arial"/>
                <w:color w:val="000000"/>
                <w:sz w:val="20"/>
                <w:szCs w:val="22"/>
                <w:lang w:eastAsia="en-AU"/>
              </w:rPr>
            </w:pPr>
            <w:r w:rsidRPr="006F169C">
              <w:rPr>
                <w:rFonts w:eastAsia="Times New Roman" w:cs="Arial"/>
                <w:color w:val="000000"/>
                <w:sz w:val="20"/>
                <w:szCs w:val="22"/>
                <w:lang w:eastAsia="en-AU"/>
              </w:rPr>
              <w:t>12 - 18 months</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93</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96</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96</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90</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94</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89</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88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84</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91</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6F169C" w:rsidRDefault="009E4A67" w:rsidP="00870C15">
            <w:pPr>
              <w:spacing w:after="0"/>
              <w:rPr>
                <w:rFonts w:eastAsia="Times New Roman" w:cs="Arial"/>
                <w:color w:val="000000"/>
                <w:sz w:val="20"/>
                <w:szCs w:val="22"/>
                <w:lang w:eastAsia="en-AU"/>
              </w:rPr>
            </w:pPr>
            <w:r w:rsidRPr="006F169C">
              <w:rPr>
                <w:rFonts w:eastAsia="Times New Roman" w:cs="Arial"/>
                <w:color w:val="000000"/>
                <w:sz w:val="20"/>
                <w:szCs w:val="22"/>
                <w:lang w:eastAsia="en-AU"/>
              </w:rPr>
              <w:t>18+ months</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45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48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55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69</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73</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61</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65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76</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67</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6F169C" w:rsidRDefault="009E4A67" w:rsidP="00870C15">
            <w:pPr>
              <w:spacing w:after="0"/>
              <w:rPr>
                <w:rFonts w:eastAsia="Times New Roman" w:cs="Arial"/>
                <w:color w:val="000000"/>
                <w:sz w:val="20"/>
                <w:szCs w:val="22"/>
                <w:lang w:eastAsia="en-AU"/>
              </w:rPr>
            </w:pPr>
            <w:r w:rsidRPr="006F169C">
              <w:rPr>
                <w:rFonts w:eastAsia="Times New Roman" w:cs="Arial"/>
                <w:color w:val="000000"/>
                <w:sz w:val="20"/>
                <w:szCs w:val="22"/>
                <w:lang w:eastAsia="en-AU"/>
              </w:rPr>
              <w:t>Total</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452</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444</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437</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408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389</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361</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358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350</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r w:rsidRPr="006F169C">
              <w:rPr>
                <w:rFonts w:eastAsia="Times New Roman" w:cs="Arial"/>
                <w:color w:val="000000"/>
                <w:sz w:val="18"/>
                <w:szCs w:val="18"/>
                <w:lang w:eastAsia="en-AU"/>
              </w:rPr>
              <w:t>345</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18"/>
                <w:lang w:eastAsia="en-AU"/>
              </w:rPr>
            </w:pPr>
          </w:p>
        </w:tc>
      </w:tr>
    </w:tbl>
    <w:p w:rsidR="00BC3466" w:rsidRPr="006F169C" w:rsidRDefault="00BC3466" w:rsidP="00FE5126">
      <w:pPr>
        <w:pStyle w:val="AHPRAbody"/>
        <w:spacing w:before="120"/>
      </w:pPr>
    </w:p>
    <w:p w:rsidR="00FB75DE" w:rsidRDefault="00FB75DE" w:rsidP="00FB75DE">
      <w:pPr>
        <w:pStyle w:val="AHPRAbody"/>
      </w:pPr>
      <w:r>
        <w:t xml:space="preserve">This </w:t>
      </w:r>
      <w:r w:rsidR="00314A4A">
        <w:t xml:space="preserve">graph and </w:t>
      </w:r>
      <w:r>
        <w:t>table show the number of investigations open at the end of each month, according to the length of time that the investigation has taken. A matter is deemed to be open and counted, even when it is on hold or waiting for input from another agency. Six of these investigations are on hold awaiting activity by another agency before the investigation can be continued by AHPRA.</w:t>
      </w:r>
    </w:p>
    <w:p w:rsidR="00FB75DE" w:rsidRDefault="00FB75DE" w:rsidP="00FB75DE">
      <w:pPr>
        <w:pStyle w:val="AHPRAbody"/>
      </w:pPr>
      <w:r>
        <w:t xml:space="preserve">Of the matters open for more than 18 months, four are </w:t>
      </w:r>
      <w:r w:rsidR="00314A4A">
        <w:t>awaiting</w:t>
      </w:r>
      <w:r>
        <w:t xml:space="preserve"> a response from the OHO about whether they will be dealt with by the OHO or the Board, while 12 are in a ‘show cause’ process to be concluded after the Board receives submissions from a practitioner.</w:t>
      </w:r>
    </w:p>
    <w:p w:rsidR="009E4A67" w:rsidRPr="006F169C" w:rsidRDefault="009E4A67">
      <w:pPr>
        <w:spacing w:after="0"/>
        <w:rPr>
          <w:rFonts w:cs="Arial"/>
        </w:rPr>
      </w:pPr>
    </w:p>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4544"/>
      </w:tblGrid>
      <w:tr w:rsidR="00594E41" w:rsidRPr="006F169C" w:rsidTr="00D50BC1">
        <w:trPr>
          <w:tblCellSpacing w:w="7" w:type="dxa"/>
        </w:trPr>
        <w:tc>
          <w:tcPr>
            <w:tcW w:w="14516" w:type="dxa"/>
            <w:vAlign w:val="center"/>
            <w:hideMark/>
          </w:tcPr>
          <w:p w:rsidR="00594E41" w:rsidRPr="006F169C" w:rsidRDefault="00FB75DE" w:rsidP="00594E41">
            <w:pPr>
              <w:pStyle w:val="AHPRADocumentsubheading"/>
            </w:pPr>
            <w:r>
              <w:rPr>
                <w:rFonts w:cs="Times New Roman"/>
                <w:color w:val="auto"/>
                <w:sz w:val="24"/>
                <w:szCs w:val="24"/>
              </w:rPr>
              <w:br w:type="page"/>
            </w:r>
            <w:r w:rsidR="00594E41" w:rsidRPr="006F169C">
              <w:t xml:space="preserve">Number of completed </w:t>
            </w:r>
            <w:r w:rsidR="00594E41">
              <w:t>investigations</w:t>
            </w:r>
          </w:p>
        </w:tc>
      </w:tr>
      <w:tr w:rsidR="00594E41" w:rsidRPr="006F169C" w:rsidTr="00D50BC1">
        <w:trPr>
          <w:tblCellSpacing w:w="7" w:type="dxa"/>
        </w:trPr>
        <w:tc>
          <w:tcPr>
            <w:tcW w:w="14516" w:type="dxa"/>
            <w:vAlign w:val="center"/>
            <w:hideMark/>
          </w:tcPr>
          <w:tbl>
            <w:tblPr>
              <w:tblW w:w="14282" w:type="dxa"/>
              <w:tblCellSpacing w:w="0" w:type="dxa"/>
              <w:tblLayout w:type="fixed"/>
              <w:tblCellMar>
                <w:left w:w="0" w:type="dxa"/>
                <w:right w:w="0" w:type="dxa"/>
              </w:tblCellMar>
              <w:tblLook w:val="04A0" w:firstRow="1" w:lastRow="0" w:firstColumn="1" w:lastColumn="0" w:noHBand="0" w:noVBand="1"/>
            </w:tblPr>
            <w:tblGrid>
              <w:gridCol w:w="14282"/>
            </w:tblGrid>
            <w:tr w:rsidR="00594E41" w:rsidRPr="006F169C" w:rsidTr="00D50BC1">
              <w:trPr>
                <w:trHeight w:val="1214"/>
                <w:tblCellSpacing w:w="0" w:type="dxa"/>
              </w:trPr>
              <w:tc>
                <w:tcPr>
                  <w:tcW w:w="14282" w:type="dxa"/>
                  <w:hideMark/>
                </w:tcPr>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40"/>
                    <w:gridCol w:w="386"/>
                    <w:gridCol w:w="141"/>
                    <w:gridCol w:w="682"/>
                    <w:gridCol w:w="199"/>
                    <w:gridCol w:w="624"/>
                    <w:gridCol w:w="256"/>
                    <w:gridCol w:w="568"/>
                    <w:gridCol w:w="312"/>
                    <w:gridCol w:w="511"/>
                    <w:gridCol w:w="369"/>
                    <w:gridCol w:w="454"/>
                    <w:gridCol w:w="426"/>
                    <w:gridCol w:w="397"/>
                    <w:gridCol w:w="483"/>
                    <w:gridCol w:w="341"/>
                    <w:gridCol w:w="540"/>
                    <w:gridCol w:w="283"/>
                    <w:gridCol w:w="635"/>
                    <w:gridCol w:w="189"/>
                    <w:gridCol w:w="729"/>
                    <w:gridCol w:w="94"/>
                    <w:gridCol w:w="824"/>
                  </w:tblGrid>
                  <w:tr w:rsidR="00594E41" w:rsidRPr="006F169C" w:rsidTr="00D50BC1">
                    <w:trPr>
                      <w:trHeight w:val="67"/>
                    </w:trPr>
                    <w:tc>
                      <w:tcPr>
                        <w:tcW w:w="4465" w:type="dxa"/>
                        <w:tcBorders>
                          <w:top w:val="nil"/>
                          <w:left w:val="nil"/>
                          <w:right w:val="nil"/>
                        </w:tcBorders>
                        <w:shd w:val="clear" w:color="auto" w:fill="auto"/>
                        <w:noWrap/>
                        <w:vAlign w:val="bottom"/>
                      </w:tcPr>
                      <w:p w:rsidR="00594E41" w:rsidRPr="006F169C" w:rsidRDefault="00594E41" w:rsidP="00D50BC1">
                        <w:pPr>
                          <w:spacing w:after="0"/>
                          <w:rPr>
                            <w:rFonts w:eastAsia="Times New Roman" w:cs="Arial"/>
                            <w:color w:val="000000"/>
                            <w:sz w:val="22"/>
                            <w:szCs w:val="22"/>
                            <w:lang w:val="en-US"/>
                          </w:rPr>
                        </w:pPr>
                      </w:p>
                    </w:tc>
                    <w:tc>
                      <w:tcPr>
                        <w:tcW w:w="443" w:type="dxa"/>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532"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1"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Jul</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Aug</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Sep</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Oct</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Nov</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Dec</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Jan</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Feb</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Mar</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Apr</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May</w:t>
                        </w:r>
                      </w:p>
                    </w:tc>
                    <w:tc>
                      <w:tcPr>
                        <w:tcW w:w="833" w:type="dxa"/>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Jun</w:t>
                        </w:r>
                      </w:p>
                    </w:tc>
                  </w:tr>
                  <w:tr w:rsidR="00594E41" w:rsidRPr="006F169C" w:rsidTr="00594E4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Resulting in closure</w:t>
                        </w:r>
                      </w:p>
                    </w:tc>
                    <w:tc>
                      <w:tcPr>
                        <w:tcW w:w="832" w:type="dxa"/>
                        <w:gridSpan w:val="2"/>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21</w:t>
                        </w:r>
                      </w:p>
                    </w:tc>
                    <w:tc>
                      <w:tcPr>
                        <w:tcW w:w="833" w:type="dxa"/>
                        <w:gridSpan w:val="2"/>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38</w:t>
                        </w:r>
                      </w:p>
                    </w:tc>
                    <w:tc>
                      <w:tcPr>
                        <w:tcW w:w="832" w:type="dxa"/>
                        <w:gridSpan w:val="2"/>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17</w:t>
                        </w:r>
                      </w:p>
                    </w:tc>
                    <w:tc>
                      <w:tcPr>
                        <w:tcW w:w="833" w:type="dxa"/>
                        <w:gridSpan w:val="2"/>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26</w:t>
                        </w:r>
                      </w:p>
                    </w:tc>
                    <w:tc>
                      <w:tcPr>
                        <w:tcW w:w="832"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15</w:t>
                        </w:r>
                      </w:p>
                    </w:tc>
                    <w:tc>
                      <w:tcPr>
                        <w:tcW w:w="833"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15</w:t>
                        </w:r>
                      </w:p>
                    </w:tc>
                    <w:tc>
                      <w:tcPr>
                        <w:tcW w:w="832"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10</w:t>
                        </w:r>
                      </w:p>
                    </w:tc>
                    <w:tc>
                      <w:tcPr>
                        <w:tcW w:w="833"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17</w:t>
                        </w:r>
                      </w:p>
                    </w:tc>
                    <w:tc>
                      <w:tcPr>
                        <w:tcW w:w="832"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19</w:t>
                        </w:r>
                      </w:p>
                    </w:tc>
                    <w:tc>
                      <w:tcPr>
                        <w:tcW w:w="833"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3" w:type="dxa"/>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594E4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Referred for further management under Part 8</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9</w:t>
                        </w:r>
                      </w:p>
                    </w:tc>
                    <w:tc>
                      <w:tcPr>
                        <w:tcW w:w="833"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6</w:t>
                        </w:r>
                      </w:p>
                    </w:tc>
                    <w:tc>
                      <w:tcPr>
                        <w:tcW w:w="833"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24</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20</w:t>
                        </w:r>
                      </w:p>
                    </w:tc>
                    <w:tc>
                      <w:tcPr>
                        <w:tcW w:w="833"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28</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7</w:t>
                        </w:r>
                      </w:p>
                    </w:tc>
                    <w:tc>
                      <w:tcPr>
                        <w:tcW w:w="833"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12</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11</w:t>
                        </w:r>
                      </w:p>
                    </w:tc>
                    <w:tc>
                      <w:tcPr>
                        <w:tcW w:w="833"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3" w:type="dxa"/>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lastRenderedPageBreak/>
                          <w:t>Total</w:t>
                        </w:r>
                      </w:p>
                    </w:tc>
                    <w:tc>
                      <w:tcPr>
                        <w:tcW w:w="832"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30</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39</w:t>
                        </w:r>
                      </w:p>
                    </w:tc>
                    <w:tc>
                      <w:tcPr>
                        <w:tcW w:w="832"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23</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50</w:t>
                        </w:r>
                      </w:p>
                    </w:tc>
                    <w:tc>
                      <w:tcPr>
                        <w:tcW w:w="832"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35</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43</w:t>
                        </w:r>
                      </w:p>
                    </w:tc>
                    <w:tc>
                      <w:tcPr>
                        <w:tcW w:w="832"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17</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29</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30</w:t>
                        </w:r>
                      </w:p>
                    </w:tc>
                    <w:tc>
                      <w:tcPr>
                        <w:tcW w:w="833"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3" w:type="dxa"/>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r>
                </w:tbl>
                <w:p w:rsidR="00594E41" w:rsidRPr="006F169C" w:rsidRDefault="00594E41" w:rsidP="00D50BC1">
                  <w:pPr>
                    <w:rPr>
                      <w:rFonts w:eastAsia="Times New Roman" w:cs="Arial"/>
                    </w:rPr>
                  </w:pPr>
                </w:p>
              </w:tc>
            </w:tr>
          </w:tbl>
          <w:p w:rsidR="00594E41" w:rsidRPr="006F169C" w:rsidRDefault="00594E41" w:rsidP="00D50BC1">
            <w:pPr>
              <w:rPr>
                <w:rFonts w:eastAsia="Times New Roman" w:cs="Arial"/>
              </w:rPr>
            </w:pPr>
          </w:p>
        </w:tc>
      </w:tr>
    </w:tbl>
    <w:p w:rsidR="00594E41" w:rsidRPr="006F169C" w:rsidRDefault="00594E41" w:rsidP="00594E41">
      <w:pPr>
        <w:pStyle w:val="AHPRAbody"/>
      </w:pPr>
    </w:p>
    <w:p w:rsidR="00594E41" w:rsidRPr="006F169C" w:rsidRDefault="00594E41" w:rsidP="00594E41">
      <w:pPr>
        <w:pStyle w:val="AHPRADocumentsubheading"/>
      </w:pPr>
      <w:r w:rsidRPr="006F169C">
        <w:t xml:space="preserve">Timeliness of completed </w:t>
      </w:r>
      <w:r>
        <w:t>investigations</w:t>
      </w:r>
      <w:r w:rsidRPr="006F169C">
        <w:t xml:space="preserve"> resulting in closure*</w:t>
      </w:r>
    </w:p>
    <w:tbl>
      <w:tblPr>
        <w:tblW w:w="14120" w:type="dxa"/>
        <w:tblLook w:val="04A0" w:firstRow="1" w:lastRow="0" w:firstColumn="1" w:lastColumn="0" w:noHBand="0" w:noVBand="1"/>
      </w:tblPr>
      <w:tblGrid>
        <w:gridCol w:w="2960"/>
        <w:gridCol w:w="920"/>
        <w:gridCol w:w="920"/>
        <w:gridCol w:w="920"/>
        <w:gridCol w:w="920"/>
        <w:gridCol w:w="920"/>
        <w:gridCol w:w="920"/>
        <w:gridCol w:w="920"/>
        <w:gridCol w:w="920"/>
        <w:gridCol w:w="920"/>
        <w:gridCol w:w="960"/>
        <w:gridCol w:w="960"/>
        <w:gridCol w:w="960"/>
      </w:tblGrid>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Jul</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Aug</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Sep</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Oct</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Nov</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Dec</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Jan</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Feb</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Apr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May</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Jun</w:t>
            </w: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594E41">
            <w:pPr>
              <w:spacing w:after="0"/>
              <w:rPr>
                <w:rFonts w:eastAsia="Times New Roman" w:cs="Arial"/>
                <w:color w:val="000000"/>
                <w:sz w:val="20"/>
                <w:szCs w:val="22"/>
                <w:lang w:val="en-US"/>
              </w:rPr>
            </w:pPr>
            <w:r w:rsidRPr="006F169C">
              <w:rPr>
                <w:rFonts w:eastAsia="Times New Roman" w:cs="Arial"/>
                <w:color w:val="000000"/>
                <w:sz w:val="20"/>
                <w:szCs w:val="22"/>
                <w:lang w:val="en-US"/>
              </w:rPr>
              <w:t xml:space="preserve">up to </w:t>
            </w:r>
            <w:r>
              <w:rPr>
                <w:rFonts w:eastAsia="Times New Roman" w:cs="Arial"/>
                <w:color w:val="000000"/>
                <w:sz w:val="20"/>
                <w:szCs w:val="22"/>
                <w:lang w:val="en-US"/>
              </w:rPr>
              <w:t>6 months</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594E41">
            <w:pPr>
              <w:spacing w:after="0"/>
              <w:rPr>
                <w:rFonts w:eastAsia="Times New Roman" w:cs="Arial"/>
                <w:color w:val="000000"/>
                <w:sz w:val="20"/>
                <w:szCs w:val="22"/>
                <w:lang w:val="en-US"/>
              </w:rPr>
            </w:pPr>
            <w:r w:rsidRPr="006F169C">
              <w:rPr>
                <w:rFonts w:eastAsia="Times New Roman" w:cs="Arial"/>
                <w:color w:val="000000"/>
                <w:sz w:val="20"/>
                <w:szCs w:val="22"/>
                <w:lang w:val="en-US"/>
              </w:rPr>
              <w:t xml:space="preserve">over 6 </w:t>
            </w:r>
            <w:r>
              <w:rPr>
                <w:rFonts w:eastAsia="Times New Roman" w:cs="Arial"/>
                <w:color w:val="000000"/>
                <w:sz w:val="20"/>
                <w:szCs w:val="22"/>
                <w:lang w:val="en-US"/>
              </w:rPr>
              <w:t>months</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37</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17</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22</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15</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15</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17</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19</w:t>
            </w: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21</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38</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17</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26</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15</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15</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17</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19</w:t>
            </w: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r>
    </w:tbl>
    <w:p w:rsidR="00594E41" w:rsidRPr="006F169C" w:rsidRDefault="00594E41" w:rsidP="00594E41">
      <w:pPr>
        <w:pStyle w:val="AHPRAbody"/>
      </w:pPr>
    </w:p>
    <w:p w:rsidR="00594E41" w:rsidRPr="006F169C" w:rsidRDefault="005935E5" w:rsidP="00594E41">
      <w:pPr>
        <w:pStyle w:val="AHPRAbody"/>
      </w:pPr>
      <w:r>
        <w:t>These</w:t>
      </w:r>
      <w:r w:rsidR="00FB75DE">
        <w:t xml:space="preserve"> table</w:t>
      </w:r>
      <w:r>
        <w:t>s</w:t>
      </w:r>
      <w:r w:rsidR="00594E41" w:rsidRPr="006F169C">
        <w:t xml:space="preserve"> show the number of completed </w:t>
      </w:r>
      <w:r w:rsidR="00594E41">
        <w:t>investigations</w:t>
      </w:r>
      <w:r w:rsidR="00594E41" w:rsidRPr="006F169C">
        <w:t xml:space="preserve"> about practitioners with a PPP in Queensland closed by a National Board in each month, including the number of days that the complaint remained open. </w:t>
      </w:r>
    </w:p>
    <w:p w:rsidR="00594E41" w:rsidRPr="006F169C" w:rsidRDefault="00594E41" w:rsidP="00594E41">
      <w:pPr>
        <w:pStyle w:val="AHPRAbody"/>
        <w:spacing w:before="120"/>
      </w:pPr>
      <w:r w:rsidRPr="006F169C">
        <w:t>* Matters completed which do not result in closure are referred to another stage for further management under part 8 of the National Law. Further management includes health or performance assessment, referral to a panel hearing, or referral to a responsible tribunal</w:t>
      </w:r>
    </w:p>
    <w:p w:rsidR="00594E41" w:rsidRPr="006F169C" w:rsidRDefault="00594E41" w:rsidP="00594E41">
      <w:pPr>
        <w:spacing w:after="0"/>
        <w:rPr>
          <w:rFonts w:cs="Arial"/>
          <w:sz w:val="20"/>
        </w:rPr>
      </w:pPr>
      <w:r w:rsidRPr="006F169C">
        <w:rPr>
          <w:rFonts w:cs="Arial"/>
        </w:rPr>
        <w:br w:type="page"/>
      </w:r>
    </w:p>
    <w:p w:rsidR="00594E41" w:rsidRPr="006F169C" w:rsidRDefault="00594E41" w:rsidP="00594E41">
      <w:pPr>
        <w:pStyle w:val="AHPRADocumentsubheading"/>
      </w:pPr>
      <w:r w:rsidRPr="006F169C">
        <w:lastRenderedPageBreak/>
        <w:t xml:space="preserve">Outcomes* of completed </w:t>
      </w:r>
      <w:r>
        <w:t>investigations</w:t>
      </w:r>
      <w:r w:rsidRPr="006F169C">
        <w:t xml:space="preserve"> resulting in closure</w:t>
      </w:r>
    </w:p>
    <w:tbl>
      <w:tblPr>
        <w:tblW w:w="14120" w:type="dxa"/>
        <w:tblLook w:val="04A0" w:firstRow="1" w:lastRow="0" w:firstColumn="1" w:lastColumn="0" w:noHBand="0" w:noVBand="1"/>
      </w:tblPr>
      <w:tblGrid>
        <w:gridCol w:w="2960"/>
        <w:gridCol w:w="920"/>
        <w:gridCol w:w="920"/>
        <w:gridCol w:w="920"/>
        <w:gridCol w:w="920"/>
        <w:gridCol w:w="920"/>
        <w:gridCol w:w="920"/>
        <w:gridCol w:w="920"/>
        <w:gridCol w:w="920"/>
        <w:gridCol w:w="920"/>
        <w:gridCol w:w="960"/>
        <w:gridCol w:w="960"/>
        <w:gridCol w:w="960"/>
      </w:tblGrid>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Jul</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Aug</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Sep</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Oct</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Nov</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Dec</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Jan</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Feb</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Mar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Apr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May</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Jun</w:t>
            </w:r>
          </w:p>
        </w:tc>
      </w:tr>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Accept undertaking</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Caution</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8</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7</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6</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7</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Impose conditions</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7</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9</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No further action</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22</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6</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6</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6</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Practitioner surrender</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24</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39</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17</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26</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18</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16</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0254AB"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22</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bl>
    <w:p w:rsidR="00594E41" w:rsidRPr="006F169C" w:rsidRDefault="00594E41" w:rsidP="00594E41">
      <w:pPr>
        <w:pStyle w:val="AHPRAbody"/>
        <w:spacing w:before="120"/>
      </w:pPr>
    </w:p>
    <w:p w:rsidR="00594E41" w:rsidRPr="006F169C" w:rsidRDefault="00594E41" w:rsidP="00594E41">
      <w:pPr>
        <w:pStyle w:val="AHPRAbody"/>
        <w:spacing w:before="120"/>
      </w:pPr>
      <w:r w:rsidRPr="006F169C">
        <w:t xml:space="preserve">This table shows the outcomes of each </w:t>
      </w:r>
      <w:r>
        <w:t>investigation</w:t>
      </w:r>
      <w:r w:rsidRPr="006F169C">
        <w:t xml:space="preserve"> completed by a National Board or its delegate about a complaint about a registered practitioner with                                              a PPP of Queensland by quarter.</w:t>
      </w:r>
    </w:p>
    <w:p w:rsidR="00594E41" w:rsidRPr="006F169C" w:rsidRDefault="00594E41" w:rsidP="00594E41">
      <w:pPr>
        <w:pStyle w:val="AHPRAbody"/>
        <w:spacing w:before="120"/>
      </w:pPr>
      <w:r w:rsidRPr="006F169C">
        <w:t xml:space="preserve">*A completed notification may have more than one outcome. </w:t>
      </w:r>
    </w:p>
    <w:p w:rsidR="009E4A67" w:rsidRPr="006F169C" w:rsidRDefault="009E4A67" w:rsidP="009E4A67">
      <w:pPr>
        <w:pStyle w:val="AHPRAbody"/>
      </w:pPr>
    </w:p>
    <w:p w:rsidR="009E4A67" w:rsidRPr="006F169C" w:rsidRDefault="009E4A67" w:rsidP="009E4A67">
      <w:pPr>
        <w:pStyle w:val="AHPRAbody"/>
      </w:pPr>
    </w:p>
    <w:p w:rsidR="009E4A67" w:rsidRPr="006F169C" w:rsidRDefault="009E4A67">
      <w:pPr>
        <w:spacing w:after="0"/>
        <w:rPr>
          <w:rFonts w:cs="Arial"/>
          <w:color w:val="5F6062"/>
          <w:sz w:val="28"/>
          <w:szCs w:val="52"/>
        </w:rPr>
      </w:pPr>
      <w:r w:rsidRPr="006F169C">
        <w:rPr>
          <w:rFonts w:cs="Arial"/>
          <w:color w:val="5F6062"/>
          <w:sz w:val="28"/>
          <w:szCs w:val="52"/>
        </w:rPr>
        <w:br w:type="page"/>
      </w:r>
    </w:p>
    <w:p w:rsidR="00BC3466" w:rsidRPr="006F169C" w:rsidRDefault="00BC3466" w:rsidP="00BC3466">
      <w:pPr>
        <w:pStyle w:val="AHPRADocumentsubheading"/>
      </w:pPr>
      <w:r w:rsidRPr="006F169C">
        <w:lastRenderedPageBreak/>
        <w:t>Timeliness of open health or performance assessments</w:t>
      </w:r>
    </w:p>
    <w:p w:rsidR="00BC3466" w:rsidRPr="006F169C" w:rsidRDefault="003B2E34" w:rsidP="00FE5126">
      <w:pPr>
        <w:pStyle w:val="AHPRAbody"/>
        <w:spacing w:before="120"/>
      </w:pPr>
      <w:r w:rsidRPr="006F169C">
        <w:rPr>
          <w:noProof/>
          <w:lang w:eastAsia="en-AU"/>
        </w:rPr>
        <w:drawing>
          <wp:inline distT="0" distB="0" distL="0" distR="0">
            <wp:extent cx="9115425" cy="3057525"/>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2E34" w:rsidRPr="006F169C" w:rsidRDefault="003B2E34" w:rsidP="00FE5126">
      <w:pPr>
        <w:pStyle w:val="AHPRAbody"/>
        <w:spacing w:before="120"/>
      </w:pPr>
    </w:p>
    <w:tbl>
      <w:tblPr>
        <w:tblW w:w="14704" w:type="dxa"/>
        <w:tblInd w:w="108" w:type="dxa"/>
        <w:tblLook w:val="04A0" w:firstRow="1" w:lastRow="0" w:firstColumn="1" w:lastColumn="0" w:noHBand="0" w:noVBand="1"/>
      </w:tblPr>
      <w:tblGrid>
        <w:gridCol w:w="3448"/>
        <w:gridCol w:w="928"/>
        <w:gridCol w:w="928"/>
        <w:gridCol w:w="928"/>
        <w:gridCol w:w="928"/>
        <w:gridCol w:w="928"/>
        <w:gridCol w:w="928"/>
        <w:gridCol w:w="928"/>
        <w:gridCol w:w="928"/>
        <w:gridCol w:w="928"/>
        <w:gridCol w:w="968"/>
        <w:gridCol w:w="968"/>
        <w:gridCol w:w="968"/>
      </w:tblGrid>
      <w:tr w:rsidR="009E4A67" w:rsidRPr="006F169C" w:rsidTr="00870C15">
        <w:trPr>
          <w:trHeight w:val="300"/>
        </w:trPr>
        <w:tc>
          <w:tcPr>
            <w:tcW w:w="344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rPr>
                <w:rFonts w:eastAsia="Times New Roman" w:cs="Arial"/>
                <w:color w:val="000000"/>
                <w:sz w:val="20"/>
                <w:szCs w:val="22"/>
                <w:lang w:eastAsia="en-AU"/>
              </w:rPr>
            </w:pPr>
            <w:r w:rsidRPr="006F169C">
              <w:rPr>
                <w:rFonts w:eastAsia="Times New Roman" w:cs="Arial"/>
                <w:color w:val="000000"/>
                <w:sz w:val="20"/>
                <w:szCs w:val="22"/>
                <w:lang w:eastAsia="en-AU"/>
              </w:rPr>
              <w:t>Health or Performance Assessment</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Jul</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Aug</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Sep</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Oct</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Nov</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Dec</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Jan</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Feb</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Mar</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Apr</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May</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Jun</w:t>
            </w: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6F169C" w:rsidRDefault="009E4A67" w:rsidP="00870C15">
            <w:pPr>
              <w:spacing w:after="0"/>
              <w:rPr>
                <w:rFonts w:eastAsia="Times New Roman" w:cs="Arial"/>
                <w:color w:val="000000"/>
                <w:sz w:val="20"/>
                <w:szCs w:val="22"/>
                <w:lang w:eastAsia="en-AU"/>
              </w:rPr>
            </w:pPr>
            <w:r w:rsidRPr="006F169C">
              <w:rPr>
                <w:rFonts w:eastAsia="Times New Roman" w:cs="Arial"/>
                <w:color w:val="000000"/>
                <w:sz w:val="20"/>
                <w:szCs w:val="22"/>
                <w:lang w:eastAsia="en-AU"/>
              </w:rPr>
              <w:t>up to 6 months</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82</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71</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74</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76</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65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60</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60</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47</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41</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6F169C" w:rsidRDefault="009E4A67" w:rsidP="00870C15">
            <w:pPr>
              <w:spacing w:after="0"/>
              <w:rPr>
                <w:rFonts w:eastAsia="Times New Roman" w:cs="Arial"/>
                <w:color w:val="000000"/>
                <w:sz w:val="20"/>
                <w:szCs w:val="22"/>
                <w:lang w:eastAsia="en-AU"/>
              </w:rPr>
            </w:pPr>
            <w:r w:rsidRPr="006F169C">
              <w:rPr>
                <w:rFonts w:eastAsia="Times New Roman" w:cs="Arial"/>
                <w:color w:val="000000"/>
                <w:sz w:val="20"/>
                <w:szCs w:val="22"/>
                <w:lang w:eastAsia="en-AU"/>
              </w:rPr>
              <w:t>above 6 months</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53</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56</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54</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47</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50</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45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38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28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30</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6F169C" w:rsidRDefault="009E4A67" w:rsidP="00870C15">
            <w:pPr>
              <w:spacing w:after="0"/>
              <w:rPr>
                <w:rFonts w:eastAsia="Times New Roman" w:cs="Arial"/>
                <w:color w:val="000000"/>
                <w:sz w:val="20"/>
                <w:szCs w:val="22"/>
                <w:lang w:eastAsia="en-AU"/>
              </w:rPr>
            </w:pPr>
            <w:r w:rsidRPr="006F169C">
              <w:rPr>
                <w:rFonts w:eastAsia="Times New Roman" w:cs="Arial"/>
                <w:color w:val="000000"/>
                <w:sz w:val="20"/>
                <w:szCs w:val="22"/>
                <w:lang w:eastAsia="en-AU"/>
              </w:rPr>
              <w:t>Total</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135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127</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128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123</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115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105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98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75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71</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r>
    </w:tbl>
    <w:p w:rsidR="00314A4A" w:rsidRDefault="00314A4A" w:rsidP="00314A4A">
      <w:pPr>
        <w:pStyle w:val="AHPRAbody"/>
      </w:pPr>
    </w:p>
    <w:p w:rsidR="00314A4A" w:rsidRDefault="00314A4A" w:rsidP="00314A4A">
      <w:pPr>
        <w:pStyle w:val="AHPRAbody"/>
      </w:pPr>
      <w:r>
        <w:t xml:space="preserve">This graph and table show the number of health or performance assessments open at the end of each month, according to the length of time that the health or performance assessment processes have taken. </w:t>
      </w:r>
    </w:p>
    <w:p w:rsidR="00314A4A" w:rsidRDefault="00314A4A" w:rsidP="00314A4A">
      <w:pPr>
        <w:pStyle w:val="AHPRAbody"/>
      </w:pPr>
    </w:p>
    <w:p w:rsidR="009E4A67" w:rsidRPr="006F169C" w:rsidRDefault="009E4A67">
      <w:pPr>
        <w:spacing w:after="0"/>
        <w:rPr>
          <w:rFonts w:cs="Arial"/>
        </w:rPr>
      </w:pPr>
    </w:p>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4544"/>
      </w:tblGrid>
      <w:tr w:rsidR="00594E41" w:rsidRPr="006F169C" w:rsidTr="00D50BC1">
        <w:trPr>
          <w:tblCellSpacing w:w="7" w:type="dxa"/>
        </w:trPr>
        <w:tc>
          <w:tcPr>
            <w:tcW w:w="14516" w:type="dxa"/>
            <w:vAlign w:val="center"/>
            <w:hideMark/>
          </w:tcPr>
          <w:p w:rsidR="00594E41" w:rsidRPr="006F169C" w:rsidRDefault="00594E41" w:rsidP="00594E41">
            <w:pPr>
              <w:pStyle w:val="AHPRADocumentsubheading"/>
            </w:pPr>
            <w:r w:rsidRPr="006F169C">
              <w:t xml:space="preserve">Number of completed </w:t>
            </w:r>
            <w:r>
              <w:t>health or performance assessments</w:t>
            </w:r>
          </w:p>
        </w:tc>
      </w:tr>
      <w:tr w:rsidR="00594E41" w:rsidRPr="006F169C" w:rsidTr="00D50BC1">
        <w:trPr>
          <w:tblCellSpacing w:w="7" w:type="dxa"/>
        </w:trPr>
        <w:tc>
          <w:tcPr>
            <w:tcW w:w="14516" w:type="dxa"/>
            <w:vAlign w:val="center"/>
            <w:hideMark/>
          </w:tcPr>
          <w:tbl>
            <w:tblPr>
              <w:tblW w:w="14282" w:type="dxa"/>
              <w:tblCellSpacing w:w="0" w:type="dxa"/>
              <w:tblLayout w:type="fixed"/>
              <w:tblCellMar>
                <w:left w:w="0" w:type="dxa"/>
                <w:right w:w="0" w:type="dxa"/>
              </w:tblCellMar>
              <w:tblLook w:val="04A0" w:firstRow="1" w:lastRow="0" w:firstColumn="1" w:lastColumn="0" w:noHBand="0" w:noVBand="1"/>
            </w:tblPr>
            <w:tblGrid>
              <w:gridCol w:w="14282"/>
            </w:tblGrid>
            <w:tr w:rsidR="00594E41" w:rsidRPr="006F169C" w:rsidTr="00D50BC1">
              <w:trPr>
                <w:trHeight w:val="1214"/>
                <w:tblCellSpacing w:w="0" w:type="dxa"/>
              </w:trPr>
              <w:tc>
                <w:tcPr>
                  <w:tcW w:w="14282" w:type="dxa"/>
                  <w:hideMark/>
                </w:tcPr>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40"/>
                    <w:gridCol w:w="386"/>
                    <w:gridCol w:w="141"/>
                    <w:gridCol w:w="682"/>
                    <w:gridCol w:w="199"/>
                    <w:gridCol w:w="624"/>
                    <w:gridCol w:w="256"/>
                    <w:gridCol w:w="568"/>
                    <w:gridCol w:w="312"/>
                    <w:gridCol w:w="511"/>
                    <w:gridCol w:w="369"/>
                    <w:gridCol w:w="454"/>
                    <w:gridCol w:w="426"/>
                    <w:gridCol w:w="397"/>
                    <w:gridCol w:w="483"/>
                    <w:gridCol w:w="341"/>
                    <w:gridCol w:w="540"/>
                    <w:gridCol w:w="283"/>
                    <w:gridCol w:w="635"/>
                    <w:gridCol w:w="189"/>
                    <w:gridCol w:w="729"/>
                    <w:gridCol w:w="94"/>
                    <w:gridCol w:w="824"/>
                  </w:tblGrid>
                  <w:tr w:rsidR="00594E41" w:rsidRPr="006F169C" w:rsidTr="00D50BC1">
                    <w:trPr>
                      <w:trHeight w:val="67"/>
                    </w:trPr>
                    <w:tc>
                      <w:tcPr>
                        <w:tcW w:w="4465" w:type="dxa"/>
                        <w:tcBorders>
                          <w:top w:val="nil"/>
                          <w:left w:val="nil"/>
                          <w:right w:val="nil"/>
                        </w:tcBorders>
                        <w:shd w:val="clear" w:color="auto" w:fill="auto"/>
                        <w:noWrap/>
                        <w:vAlign w:val="bottom"/>
                      </w:tcPr>
                      <w:p w:rsidR="00594E41" w:rsidRPr="006F169C" w:rsidRDefault="00594E41" w:rsidP="00D50BC1">
                        <w:pPr>
                          <w:spacing w:after="0"/>
                          <w:rPr>
                            <w:rFonts w:eastAsia="Times New Roman" w:cs="Arial"/>
                            <w:color w:val="000000"/>
                            <w:sz w:val="22"/>
                            <w:szCs w:val="22"/>
                            <w:lang w:val="en-US"/>
                          </w:rPr>
                        </w:pPr>
                      </w:p>
                    </w:tc>
                    <w:tc>
                      <w:tcPr>
                        <w:tcW w:w="443" w:type="dxa"/>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532"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1"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Jul</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Aug</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Sep</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Oct</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Nov</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Dec</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Jan</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Feb</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Mar</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Apr</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May</w:t>
                        </w:r>
                      </w:p>
                    </w:tc>
                    <w:tc>
                      <w:tcPr>
                        <w:tcW w:w="833" w:type="dxa"/>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Jun</w:t>
                        </w: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Resulting in closure</w:t>
                        </w:r>
                      </w:p>
                    </w:tc>
                    <w:tc>
                      <w:tcPr>
                        <w:tcW w:w="832"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14</w:t>
                        </w:r>
                      </w:p>
                    </w:tc>
                    <w:tc>
                      <w:tcPr>
                        <w:tcW w:w="833"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20</w:t>
                        </w:r>
                      </w:p>
                    </w:tc>
                    <w:tc>
                      <w:tcPr>
                        <w:tcW w:w="832"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9</w:t>
                        </w:r>
                      </w:p>
                    </w:tc>
                    <w:tc>
                      <w:tcPr>
                        <w:tcW w:w="833"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21</w:t>
                        </w:r>
                      </w:p>
                    </w:tc>
                    <w:tc>
                      <w:tcPr>
                        <w:tcW w:w="832"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833"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10</w:t>
                        </w:r>
                      </w:p>
                    </w:tc>
                    <w:tc>
                      <w:tcPr>
                        <w:tcW w:w="832"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18</w:t>
                        </w:r>
                      </w:p>
                    </w:tc>
                    <w:tc>
                      <w:tcPr>
                        <w:tcW w:w="833"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16</w:t>
                        </w:r>
                      </w:p>
                    </w:tc>
                    <w:tc>
                      <w:tcPr>
                        <w:tcW w:w="832" w:type="dxa"/>
                        <w:gridSpan w:val="2"/>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833"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3" w:type="dxa"/>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Referred for further management under Part 8</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833"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833"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6</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833"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833"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833"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3" w:type="dxa"/>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832"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16</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21</w:t>
                        </w:r>
                      </w:p>
                    </w:tc>
                    <w:tc>
                      <w:tcPr>
                        <w:tcW w:w="832"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10</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27</w:t>
                        </w:r>
                      </w:p>
                    </w:tc>
                    <w:tc>
                      <w:tcPr>
                        <w:tcW w:w="832"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12</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13</w:t>
                        </w:r>
                      </w:p>
                    </w:tc>
                    <w:tc>
                      <w:tcPr>
                        <w:tcW w:w="832"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19</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20</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5</w:t>
                        </w:r>
                      </w:p>
                    </w:tc>
                    <w:tc>
                      <w:tcPr>
                        <w:tcW w:w="833"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3" w:type="dxa"/>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r>
                </w:tbl>
                <w:p w:rsidR="00594E41" w:rsidRPr="006F169C" w:rsidRDefault="00594E41" w:rsidP="00D50BC1">
                  <w:pPr>
                    <w:rPr>
                      <w:rFonts w:eastAsia="Times New Roman" w:cs="Arial"/>
                    </w:rPr>
                  </w:pPr>
                </w:p>
              </w:tc>
            </w:tr>
          </w:tbl>
          <w:p w:rsidR="00594E41" w:rsidRPr="006F169C" w:rsidRDefault="00594E41" w:rsidP="00D50BC1">
            <w:pPr>
              <w:rPr>
                <w:rFonts w:eastAsia="Times New Roman" w:cs="Arial"/>
              </w:rPr>
            </w:pPr>
          </w:p>
        </w:tc>
      </w:tr>
    </w:tbl>
    <w:p w:rsidR="00594E41" w:rsidRPr="006F169C" w:rsidRDefault="00594E41" w:rsidP="00594E41">
      <w:pPr>
        <w:pStyle w:val="AHPRAbody"/>
      </w:pPr>
    </w:p>
    <w:p w:rsidR="00594E41" w:rsidRPr="006F169C" w:rsidRDefault="00594E41" w:rsidP="00594E41">
      <w:pPr>
        <w:pStyle w:val="AHPRADocumentsubheading"/>
      </w:pPr>
      <w:r w:rsidRPr="006F169C">
        <w:t xml:space="preserve">Timeliness of completed </w:t>
      </w:r>
      <w:r>
        <w:t>health or performance assessments</w:t>
      </w:r>
      <w:r w:rsidRPr="006F169C">
        <w:t xml:space="preserve"> resulting in closure*</w:t>
      </w:r>
    </w:p>
    <w:tbl>
      <w:tblPr>
        <w:tblW w:w="14120" w:type="dxa"/>
        <w:tblLook w:val="04A0" w:firstRow="1" w:lastRow="0" w:firstColumn="1" w:lastColumn="0" w:noHBand="0" w:noVBand="1"/>
      </w:tblPr>
      <w:tblGrid>
        <w:gridCol w:w="2960"/>
        <w:gridCol w:w="920"/>
        <w:gridCol w:w="920"/>
        <w:gridCol w:w="920"/>
        <w:gridCol w:w="920"/>
        <w:gridCol w:w="920"/>
        <w:gridCol w:w="920"/>
        <w:gridCol w:w="920"/>
        <w:gridCol w:w="920"/>
        <w:gridCol w:w="920"/>
        <w:gridCol w:w="960"/>
        <w:gridCol w:w="960"/>
        <w:gridCol w:w="960"/>
      </w:tblGrid>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Jul</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Aug</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Sep</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Oct</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Nov</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Dec</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Jan</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Feb</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Apr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May</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Jun</w:t>
            </w: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 xml:space="preserve">up to </w:t>
            </w:r>
            <w:r>
              <w:rPr>
                <w:rFonts w:eastAsia="Times New Roman" w:cs="Arial"/>
                <w:color w:val="000000"/>
                <w:sz w:val="20"/>
                <w:szCs w:val="22"/>
                <w:lang w:val="en-US"/>
              </w:rPr>
              <w:t>6 months</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6</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5</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 xml:space="preserve">over 6 </w:t>
            </w:r>
            <w:r>
              <w:rPr>
                <w:rFonts w:eastAsia="Times New Roman" w:cs="Arial"/>
                <w:color w:val="000000"/>
                <w:sz w:val="20"/>
                <w:szCs w:val="22"/>
                <w:lang w:val="en-US"/>
              </w:rPr>
              <w:t>months</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16</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7</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13</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18</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15</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14</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9</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21</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18</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16</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0254AB"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r>
    </w:tbl>
    <w:p w:rsidR="00594E41" w:rsidRPr="006F169C" w:rsidRDefault="00594E41" w:rsidP="00594E41">
      <w:pPr>
        <w:pStyle w:val="AHPRAbody"/>
      </w:pPr>
    </w:p>
    <w:p w:rsidR="00594E41" w:rsidRPr="006F169C" w:rsidRDefault="00802B0C" w:rsidP="00594E41">
      <w:pPr>
        <w:pStyle w:val="AHPRAbody"/>
      </w:pPr>
      <w:r>
        <w:t>Th</w:t>
      </w:r>
      <w:r w:rsidR="005935E5">
        <w:t>ese</w:t>
      </w:r>
      <w:r>
        <w:t xml:space="preserve"> table</w:t>
      </w:r>
      <w:r w:rsidR="005935E5">
        <w:t>s</w:t>
      </w:r>
      <w:r w:rsidR="00594E41" w:rsidRPr="006F169C">
        <w:t xml:space="preserve"> show the number of completed </w:t>
      </w:r>
      <w:r w:rsidR="00594E41">
        <w:t>health or performance assessments</w:t>
      </w:r>
      <w:r w:rsidR="00594E41" w:rsidRPr="006F169C">
        <w:t xml:space="preserve"> about practitioners with a PPP in Queensland closed by a National Board in each month, including the number of days that the complaint remained open. </w:t>
      </w:r>
    </w:p>
    <w:p w:rsidR="00594E41" w:rsidRPr="006F169C" w:rsidRDefault="00594E41" w:rsidP="00594E41">
      <w:pPr>
        <w:pStyle w:val="AHPRAbody"/>
        <w:spacing w:before="120"/>
      </w:pPr>
      <w:r w:rsidRPr="006F169C">
        <w:t xml:space="preserve">* Matters completed which do not result in closure are referred to another stage for further management under part 8 of the National Law. Further management includes </w:t>
      </w:r>
      <w:r>
        <w:t>investigation</w:t>
      </w:r>
      <w:r w:rsidRPr="006F169C">
        <w:t>, referral to a panel hearing, or referral to a responsible tribunal</w:t>
      </w:r>
      <w:r w:rsidR="005935E5">
        <w:t>.</w:t>
      </w:r>
    </w:p>
    <w:p w:rsidR="00594E41" w:rsidRPr="006F169C" w:rsidRDefault="00594E41" w:rsidP="00594E41">
      <w:pPr>
        <w:spacing w:after="0"/>
        <w:rPr>
          <w:rFonts w:cs="Arial"/>
          <w:sz w:val="20"/>
        </w:rPr>
      </w:pPr>
      <w:r w:rsidRPr="006F169C">
        <w:rPr>
          <w:rFonts w:cs="Arial"/>
        </w:rPr>
        <w:br w:type="page"/>
      </w:r>
    </w:p>
    <w:p w:rsidR="00594E41" w:rsidRPr="006F169C" w:rsidRDefault="00594E41" w:rsidP="00594E41">
      <w:pPr>
        <w:pStyle w:val="AHPRADocumentsubheading"/>
      </w:pPr>
      <w:r w:rsidRPr="006F169C">
        <w:lastRenderedPageBreak/>
        <w:t xml:space="preserve">Outcomes* of completed </w:t>
      </w:r>
      <w:r>
        <w:t>health or performance assessments</w:t>
      </w:r>
      <w:r w:rsidRPr="006F169C">
        <w:t xml:space="preserve"> resulting in closure</w:t>
      </w:r>
    </w:p>
    <w:tbl>
      <w:tblPr>
        <w:tblW w:w="14120" w:type="dxa"/>
        <w:tblLook w:val="04A0" w:firstRow="1" w:lastRow="0" w:firstColumn="1" w:lastColumn="0" w:noHBand="0" w:noVBand="1"/>
      </w:tblPr>
      <w:tblGrid>
        <w:gridCol w:w="2960"/>
        <w:gridCol w:w="920"/>
        <w:gridCol w:w="920"/>
        <w:gridCol w:w="920"/>
        <w:gridCol w:w="920"/>
        <w:gridCol w:w="920"/>
        <w:gridCol w:w="920"/>
        <w:gridCol w:w="920"/>
        <w:gridCol w:w="920"/>
        <w:gridCol w:w="920"/>
        <w:gridCol w:w="960"/>
        <w:gridCol w:w="960"/>
        <w:gridCol w:w="960"/>
      </w:tblGrid>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Jul</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Aug</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Sep</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Oct</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Nov</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Dec</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Jan</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Feb</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Mar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Apr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May</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Jun</w:t>
            </w:r>
          </w:p>
        </w:tc>
      </w:tr>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Accept undertaking</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5</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Caution</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Impose conditions</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5</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6</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No further action</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5</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5</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Practitioner surrender</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802B0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14</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9</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19</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16</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bl>
    <w:p w:rsidR="00594E41" w:rsidRPr="006F169C" w:rsidRDefault="00594E41" w:rsidP="00594E41">
      <w:pPr>
        <w:pStyle w:val="AHPRAbody"/>
        <w:spacing w:before="120"/>
      </w:pPr>
    </w:p>
    <w:p w:rsidR="00594E41" w:rsidRPr="006F169C" w:rsidRDefault="00594E41" w:rsidP="00594E41">
      <w:pPr>
        <w:pStyle w:val="AHPRAbody"/>
        <w:spacing w:before="120"/>
      </w:pPr>
      <w:r w:rsidRPr="006F169C">
        <w:t xml:space="preserve">This table shows the outcomes of each </w:t>
      </w:r>
      <w:r>
        <w:t>health or performance assessments</w:t>
      </w:r>
      <w:r w:rsidRPr="006F169C">
        <w:t xml:space="preserve"> completed by a National Board or its delegate about a complaint about a registered practitioner with</w:t>
      </w:r>
      <w:r>
        <w:t xml:space="preserve"> </w:t>
      </w:r>
      <w:r w:rsidRPr="006F169C">
        <w:t>a PPP of Queensland by quarter.</w:t>
      </w:r>
    </w:p>
    <w:p w:rsidR="00594E41" w:rsidRPr="006F169C" w:rsidRDefault="00594E41" w:rsidP="00594E41">
      <w:pPr>
        <w:pStyle w:val="AHPRAbody"/>
        <w:spacing w:before="120"/>
      </w:pPr>
      <w:r w:rsidRPr="006F169C">
        <w:t xml:space="preserve">*A completed notification may have more than one outcome. </w:t>
      </w:r>
    </w:p>
    <w:p w:rsidR="009E4A67" w:rsidRPr="006F169C" w:rsidRDefault="009E4A67">
      <w:pPr>
        <w:spacing w:after="0"/>
        <w:rPr>
          <w:rFonts w:cs="Arial"/>
        </w:rPr>
      </w:pPr>
    </w:p>
    <w:p w:rsidR="009E4A67" w:rsidRPr="006F169C" w:rsidRDefault="009E4A67">
      <w:pPr>
        <w:spacing w:after="0"/>
        <w:rPr>
          <w:rFonts w:cs="Arial"/>
        </w:rPr>
      </w:pPr>
      <w:r w:rsidRPr="006F169C">
        <w:rPr>
          <w:rFonts w:cs="Arial"/>
        </w:rPr>
        <w:br w:type="page"/>
      </w:r>
    </w:p>
    <w:p w:rsidR="003B2E34" w:rsidRPr="006F169C" w:rsidRDefault="003B2E34" w:rsidP="003B2E34">
      <w:pPr>
        <w:pStyle w:val="AHPRADocumentsubheading"/>
      </w:pPr>
      <w:r w:rsidRPr="006F169C">
        <w:lastRenderedPageBreak/>
        <w:t>Timeliness of open matters in panel hearing</w:t>
      </w:r>
    </w:p>
    <w:p w:rsidR="003B2E34" w:rsidRPr="006F169C" w:rsidRDefault="003B2E34" w:rsidP="00FE5126">
      <w:pPr>
        <w:pStyle w:val="AHPRAbody"/>
        <w:spacing w:before="120"/>
      </w:pPr>
      <w:r w:rsidRPr="006F169C">
        <w:rPr>
          <w:noProof/>
          <w:lang w:eastAsia="en-AU"/>
        </w:rPr>
        <w:drawing>
          <wp:inline distT="0" distB="0" distL="0" distR="0">
            <wp:extent cx="9210675" cy="3143250"/>
            <wp:effectExtent l="19050" t="0" r="9525"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7F66" w:rsidRPr="006F169C" w:rsidRDefault="009B7F66" w:rsidP="00FE5126">
      <w:pPr>
        <w:pStyle w:val="AHPRAbody"/>
        <w:spacing w:before="120"/>
      </w:pPr>
    </w:p>
    <w:tbl>
      <w:tblPr>
        <w:tblW w:w="14704" w:type="dxa"/>
        <w:tblInd w:w="108" w:type="dxa"/>
        <w:tblLook w:val="04A0" w:firstRow="1" w:lastRow="0" w:firstColumn="1" w:lastColumn="0" w:noHBand="0" w:noVBand="1"/>
      </w:tblPr>
      <w:tblGrid>
        <w:gridCol w:w="3448"/>
        <w:gridCol w:w="928"/>
        <w:gridCol w:w="928"/>
        <w:gridCol w:w="928"/>
        <w:gridCol w:w="928"/>
        <w:gridCol w:w="928"/>
        <w:gridCol w:w="928"/>
        <w:gridCol w:w="928"/>
        <w:gridCol w:w="928"/>
        <w:gridCol w:w="928"/>
        <w:gridCol w:w="968"/>
        <w:gridCol w:w="968"/>
        <w:gridCol w:w="968"/>
      </w:tblGrid>
      <w:tr w:rsidR="009E4A67" w:rsidRPr="006F169C" w:rsidTr="00870C15">
        <w:trPr>
          <w:trHeight w:val="300"/>
        </w:trPr>
        <w:tc>
          <w:tcPr>
            <w:tcW w:w="344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rPr>
                <w:rFonts w:eastAsia="Times New Roman" w:cs="Arial"/>
                <w:color w:val="000000"/>
                <w:sz w:val="22"/>
                <w:szCs w:val="22"/>
                <w:lang w:eastAsia="en-AU"/>
              </w:rPr>
            </w:pP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Jul</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Aug</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Sep</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Oct</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Nov</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Dec</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Jan</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Feb</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Mar</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Apr</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May</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Jun</w:t>
            </w: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594E41" w:rsidRDefault="009E4A67" w:rsidP="00870C15">
            <w:pPr>
              <w:spacing w:after="0"/>
              <w:rPr>
                <w:rFonts w:eastAsia="Times New Roman" w:cs="Arial"/>
                <w:color w:val="000000"/>
                <w:sz w:val="20"/>
                <w:szCs w:val="22"/>
                <w:lang w:eastAsia="en-AU"/>
              </w:rPr>
            </w:pPr>
            <w:r w:rsidRPr="00594E41">
              <w:rPr>
                <w:rFonts w:eastAsia="Times New Roman" w:cs="Arial"/>
                <w:color w:val="000000"/>
                <w:sz w:val="20"/>
                <w:szCs w:val="22"/>
                <w:lang w:eastAsia="en-AU"/>
              </w:rPr>
              <w:t>up to 6 months</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23</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16</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11</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10</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10</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12</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17</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17</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17</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594E41" w:rsidRDefault="009E4A67" w:rsidP="00870C15">
            <w:pPr>
              <w:spacing w:after="0"/>
              <w:rPr>
                <w:rFonts w:eastAsia="Times New Roman" w:cs="Arial"/>
                <w:color w:val="000000"/>
                <w:sz w:val="20"/>
                <w:szCs w:val="22"/>
                <w:lang w:eastAsia="en-AU"/>
              </w:rPr>
            </w:pPr>
            <w:r w:rsidRPr="00594E41">
              <w:rPr>
                <w:rFonts w:eastAsia="Times New Roman" w:cs="Arial"/>
                <w:color w:val="000000"/>
                <w:sz w:val="20"/>
                <w:szCs w:val="22"/>
                <w:lang w:eastAsia="en-AU"/>
              </w:rPr>
              <w:t>above 6 months</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38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32</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34</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33</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35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27</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10</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7</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594E41" w:rsidRDefault="009E4A67" w:rsidP="00870C15">
            <w:pPr>
              <w:spacing w:after="0"/>
              <w:rPr>
                <w:rFonts w:eastAsia="Times New Roman" w:cs="Arial"/>
                <w:color w:val="000000"/>
                <w:sz w:val="20"/>
                <w:szCs w:val="22"/>
                <w:lang w:eastAsia="en-AU"/>
              </w:rPr>
            </w:pPr>
            <w:r w:rsidRPr="00594E41">
              <w:rPr>
                <w:rFonts w:eastAsia="Times New Roman" w:cs="Arial"/>
                <w:color w:val="000000"/>
                <w:sz w:val="20"/>
                <w:szCs w:val="22"/>
                <w:lang w:eastAsia="en-AU"/>
              </w:rPr>
              <w:t>Total</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61</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48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45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43</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45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39</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35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27</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24</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r>
    </w:tbl>
    <w:p w:rsidR="009E4A67" w:rsidRPr="006F169C" w:rsidRDefault="009E4A67">
      <w:pPr>
        <w:spacing w:after="0"/>
        <w:rPr>
          <w:rFonts w:cs="Arial"/>
        </w:rPr>
      </w:pPr>
    </w:p>
    <w:p w:rsidR="005935E5" w:rsidRDefault="005935E5">
      <w:pPr>
        <w:spacing w:after="0"/>
        <w:rPr>
          <w:rFonts w:cs="Arial"/>
        </w:rPr>
      </w:pPr>
    </w:p>
    <w:p w:rsidR="009E4A67" w:rsidRPr="005935E5" w:rsidRDefault="005935E5">
      <w:pPr>
        <w:spacing w:after="0"/>
        <w:rPr>
          <w:rFonts w:cs="Arial"/>
          <w:sz w:val="20"/>
          <w:szCs w:val="20"/>
        </w:rPr>
      </w:pPr>
      <w:r w:rsidRPr="005935E5">
        <w:rPr>
          <w:sz w:val="20"/>
          <w:szCs w:val="20"/>
        </w:rPr>
        <w:t xml:space="preserve">This </w:t>
      </w:r>
      <w:r w:rsidR="00314A4A">
        <w:rPr>
          <w:sz w:val="20"/>
          <w:szCs w:val="20"/>
        </w:rPr>
        <w:t xml:space="preserve">graph and </w:t>
      </w:r>
      <w:r w:rsidRPr="005935E5">
        <w:rPr>
          <w:sz w:val="20"/>
          <w:szCs w:val="20"/>
        </w:rPr>
        <w:t>table show the number of open panel matters at the end of each month, according to the length of time that the panel process has taken.</w:t>
      </w:r>
      <w:r w:rsidR="009E4A67" w:rsidRPr="005935E5">
        <w:rPr>
          <w:rFonts w:cs="Arial"/>
          <w:sz w:val="20"/>
          <w:szCs w:val="20"/>
        </w:rPr>
        <w:br w:type="page"/>
      </w:r>
    </w:p>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4544"/>
      </w:tblGrid>
      <w:tr w:rsidR="00594E41" w:rsidRPr="006F169C" w:rsidTr="00D50BC1">
        <w:trPr>
          <w:tblCellSpacing w:w="7" w:type="dxa"/>
        </w:trPr>
        <w:tc>
          <w:tcPr>
            <w:tcW w:w="14516" w:type="dxa"/>
            <w:vAlign w:val="center"/>
            <w:hideMark/>
          </w:tcPr>
          <w:p w:rsidR="00594E41" w:rsidRPr="006F169C" w:rsidRDefault="00594E41" w:rsidP="00594E41">
            <w:pPr>
              <w:pStyle w:val="AHPRADocumentsubheading"/>
            </w:pPr>
            <w:r w:rsidRPr="006F169C">
              <w:lastRenderedPageBreak/>
              <w:t xml:space="preserve">Number of completed </w:t>
            </w:r>
            <w:r>
              <w:t>panel hearings</w:t>
            </w:r>
          </w:p>
        </w:tc>
      </w:tr>
      <w:tr w:rsidR="00594E41" w:rsidRPr="006F169C" w:rsidTr="00D50BC1">
        <w:trPr>
          <w:tblCellSpacing w:w="7" w:type="dxa"/>
        </w:trPr>
        <w:tc>
          <w:tcPr>
            <w:tcW w:w="14516" w:type="dxa"/>
            <w:vAlign w:val="center"/>
            <w:hideMark/>
          </w:tcPr>
          <w:tbl>
            <w:tblPr>
              <w:tblW w:w="14282" w:type="dxa"/>
              <w:tblCellSpacing w:w="0" w:type="dxa"/>
              <w:tblLayout w:type="fixed"/>
              <w:tblCellMar>
                <w:left w:w="0" w:type="dxa"/>
                <w:right w:w="0" w:type="dxa"/>
              </w:tblCellMar>
              <w:tblLook w:val="04A0" w:firstRow="1" w:lastRow="0" w:firstColumn="1" w:lastColumn="0" w:noHBand="0" w:noVBand="1"/>
            </w:tblPr>
            <w:tblGrid>
              <w:gridCol w:w="14282"/>
            </w:tblGrid>
            <w:tr w:rsidR="00594E41" w:rsidRPr="006F169C" w:rsidTr="00D50BC1">
              <w:trPr>
                <w:trHeight w:val="1214"/>
                <w:tblCellSpacing w:w="0" w:type="dxa"/>
              </w:trPr>
              <w:tc>
                <w:tcPr>
                  <w:tcW w:w="14282" w:type="dxa"/>
                  <w:hideMark/>
                </w:tcPr>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40"/>
                    <w:gridCol w:w="386"/>
                    <w:gridCol w:w="141"/>
                    <w:gridCol w:w="682"/>
                    <w:gridCol w:w="199"/>
                    <w:gridCol w:w="624"/>
                    <w:gridCol w:w="256"/>
                    <w:gridCol w:w="568"/>
                    <w:gridCol w:w="312"/>
                    <w:gridCol w:w="511"/>
                    <w:gridCol w:w="369"/>
                    <w:gridCol w:w="454"/>
                    <w:gridCol w:w="426"/>
                    <w:gridCol w:w="397"/>
                    <w:gridCol w:w="483"/>
                    <w:gridCol w:w="341"/>
                    <w:gridCol w:w="540"/>
                    <w:gridCol w:w="283"/>
                    <w:gridCol w:w="635"/>
                    <w:gridCol w:w="189"/>
                    <w:gridCol w:w="729"/>
                    <w:gridCol w:w="94"/>
                    <w:gridCol w:w="824"/>
                  </w:tblGrid>
                  <w:tr w:rsidR="00594E41" w:rsidRPr="006F169C" w:rsidTr="00D50BC1">
                    <w:trPr>
                      <w:trHeight w:val="67"/>
                    </w:trPr>
                    <w:tc>
                      <w:tcPr>
                        <w:tcW w:w="4465" w:type="dxa"/>
                        <w:tcBorders>
                          <w:top w:val="nil"/>
                          <w:left w:val="nil"/>
                          <w:right w:val="nil"/>
                        </w:tcBorders>
                        <w:shd w:val="clear" w:color="auto" w:fill="auto"/>
                        <w:noWrap/>
                        <w:vAlign w:val="bottom"/>
                      </w:tcPr>
                      <w:p w:rsidR="00594E41" w:rsidRPr="006F169C" w:rsidRDefault="00594E41" w:rsidP="00D50BC1">
                        <w:pPr>
                          <w:spacing w:after="0"/>
                          <w:rPr>
                            <w:rFonts w:eastAsia="Times New Roman" w:cs="Arial"/>
                            <w:color w:val="000000"/>
                            <w:sz w:val="22"/>
                            <w:szCs w:val="22"/>
                            <w:lang w:val="en-US"/>
                          </w:rPr>
                        </w:pPr>
                      </w:p>
                    </w:tc>
                    <w:tc>
                      <w:tcPr>
                        <w:tcW w:w="443" w:type="dxa"/>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532"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1"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Jul</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Aug</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Sep</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Oct</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Nov</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Dec</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Jan</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Feb</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Mar</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Apr</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May</w:t>
                        </w:r>
                      </w:p>
                    </w:tc>
                    <w:tc>
                      <w:tcPr>
                        <w:tcW w:w="833" w:type="dxa"/>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Jun</w:t>
                        </w: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Resulting in closure</w:t>
                        </w:r>
                      </w:p>
                    </w:tc>
                    <w:tc>
                      <w:tcPr>
                        <w:tcW w:w="832"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5</w:t>
                        </w:r>
                      </w:p>
                    </w:tc>
                    <w:tc>
                      <w:tcPr>
                        <w:tcW w:w="833"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14</w:t>
                        </w:r>
                      </w:p>
                    </w:tc>
                    <w:tc>
                      <w:tcPr>
                        <w:tcW w:w="832"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833"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832"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833"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832"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9</w:t>
                        </w:r>
                      </w:p>
                    </w:tc>
                    <w:tc>
                      <w:tcPr>
                        <w:tcW w:w="833"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832"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833"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3" w:type="dxa"/>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Referred for further management under Part 8</w:t>
                        </w:r>
                      </w:p>
                    </w:tc>
                    <w:tc>
                      <w:tcPr>
                        <w:tcW w:w="832" w:type="dxa"/>
                        <w:gridSpan w:val="2"/>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833" w:type="dxa"/>
                        <w:gridSpan w:val="2"/>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833"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832" w:type="dxa"/>
                        <w:gridSpan w:val="2"/>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833"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832" w:type="dxa"/>
                        <w:gridSpan w:val="2"/>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833" w:type="dxa"/>
                        <w:gridSpan w:val="2"/>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832" w:type="dxa"/>
                        <w:gridSpan w:val="2"/>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833"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3" w:type="dxa"/>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832"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5</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14</w:t>
                        </w:r>
                      </w:p>
                    </w:tc>
                    <w:tc>
                      <w:tcPr>
                        <w:tcW w:w="832"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5</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832"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9</w:t>
                        </w:r>
                      </w:p>
                    </w:tc>
                    <w:tc>
                      <w:tcPr>
                        <w:tcW w:w="832"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9</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833"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3" w:type="dxa"/>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r>
                </w:tbl>
                <w:p w:rsidR="00594E41" w:rsidRPr="006F169C" w:rsidRDefault="00594E41" w:rsidP="00D50BC1">
                  <w:pPr>
                    <w:rPr>
                      <w:rFonts w:eastAsia="Times New Roman" w:cs="Arial"/>
                    </w:rPr>
                  </w:pPr>
                </w:p>
              </w:tc>
            </w:tr>
          </w:tbl>
          <w:p w:rsidR="00594E41" w:rsidRPr="006F169C" w:rsidRDefault="00594E41" w:rsidP="00D50BC1">
            <w:pPr>
              <w:rPr>
                <w:rFonts w:eastAsia="Times New Roman" w:cs="Arial"/>
              </w:rPr>
            </w:pPr>
          </w:p>
        </w:tc>
      </w:tr>
    </w:tbl>
    <w:p w:rsidR="00594E41" w:rsidRPr="006F169C" w:rsidRDefault="00594E41" w:rsidP="00594E41">
      <w:pPr>
        <w:pStyle w:val="AHPRAbody"/>
      </w:pPr>
    </w:p>
    <w:p w:rsidR="00594E41" w:rsidRPr="006F169C" w:rsidRDefault="00594E41" w:rsidP="00594E41">
      <w:pPr>
        <w:pStyle w:val="AHPRADocumentsubheading"/>
      </w:pPr>
      <w:r w:rsidRPr="006F169C">
        <w:t xml:space="preserve">Timeliness of completed </w:t>
      </w:r>
      <w:r>
        <w:t>panel hearings</w:t>
      </w:r>
      <w:r w:rsidRPr="006F169C">
        <w:t xml:space="preserve"> resulting in closure*</w:t>
      </w:r>
    </w:p>
    <w:tbl>
      <w:tblPr>
        <w:tblW w:w="14120" w:type="dxa"/>
        <w:tblLook w:val="04A0" w:firstRow="1" w:lastRow="0" w:firstColumn="1" w:lastColumn="0" w:noHBand="0" w:noVBand="1"/>
      </w:tblPr>
      <w:tblGrid>
        <w:gridCol w:w="2960"/>
        <w:gridCol w:w="920"/>
        <w:gridCol w:w="920"/>
        <w:gridCol w:w="920"/>
        <w:gridCol w:w="920"/>
        <w:gridCol w:w="920"/>
        <w:gridCol w:w="920"/>
        <w:gridCol w:w="920"/>
        <w:gridCol w:w="920"/>
        <w:gridCol w:w="920"/>
        <w:gridCol w:w="960"/>
        <w:gridCol w:w="960"/>
        <w:gridCol w:w="960"/>
      </w:tblGrid>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Jul</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Aug</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Sep</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Oct</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Nov</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Dec</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Jan</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Feb</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Apr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May</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Jun</w:t>
            </w: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 xml:space="preserve">up to </w:t>
            </w:r>
            <w:r>
              <w:rPr>
                <w:rFonts w:eastAsia="Times New Roman" w:cs="Arial"/>
                <w:color w:val="000000"/>
                <w:sz w:val="20"/>
                <w:szCs w:val="22"/>
                <w:lang w:val="en-US"/>
              </w:rPr>
              <w:t>6 months</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802B0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 xml:space="preserve">over 6 </w:t>
            </w:r>
            <w:r>
              <w:rPr>
                <w:rFonts w:eastAsia="Times New Roman" w:cs="Arial"/>
                <w:color w:val="000000"/>
                <w:sz w:val="20"/>
                <w:szCs w:val="22"/>
                <w:lang w:val="en-US"/>
              </w:rPr>
              <w:t>months</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5</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12</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9</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5</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14</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9</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r>
    </w:tbl>
    <w:p w:rsidR="00594E41" w:rsidRPr="006F169C" w:rsidRDefault="00594E41" w:rsidP="00594E41">
      <w:pPr>
        <w:pStyle w:val="AHPRAbody"/>
      </w:pPr>
    </w:p>
    <w:p w:rsidR="00594E41" w:rsidRPr="006F169C" w:rsidRDefault="005935E5" w:rsidP="00594E41">
      <w:pPr>
        <w:pStyle w:val="AHPRAbody"/>
      </w:pPr>
      <w:r>
        <w:t>These tables</w:t>
      </w:r>
      <w:r w:rsidR="00594E41" w:rsidRPr="006F169C">
        <w:t xml:space="preserve"> </w:t>
      </w:r>
      <w:r w:rsidR="001C245F">
        <w:t>show</w:t>
      </w:r>
      <w:r w:rsidR="00594E41" w:rsidRPr="006F169C">
        <w:t xml:space="preserve"> the number of completed </w:t>
      </w:r>
      <w:r w:rsidR="00594E41">
        <w:t>panel hearings</w:t>
      </w:r>
      <w:r w:rsidR="00594E41" w:rsidRPr="006F169C">
        <w:t xml:space="preserve"> about practitioners with a PPP in Queensland closed by a National Board in each month, including the number of days that the complaint remained open. </w:t>
      </w:r>
    </w:p>
    <w:p w:rsidR="00594E41" w:rsidRPr="006F169C" w:rsidRDefault="00594E41" w:rsidP="00594E41">
      <w:pPr>
        <w:pStyle w:val="AHPRAbody"/>
        <w:spacing w:before="120"/>
      </w:pPr>
      <w:r w:rsidRPr="006F169C">
        <w:t>* Matters completed which do not result in closure are referred to another stage for further management under part 8 of the National Law. Further management includes referral to a responsible tribunal</w:t>
      </w:r>
    </w:p>
    <w:p w:rsidR="00594E41" w:rsidRPr="006F169C" w:rsidRDefault="00594E41" w:rsidP="00594E41">
      <w:pPr>
        <w:spacing w:after="0"/>
        <w:rPr>
          <w:rFonts w:cs="Arial"/>
          <w:sz w:val="20"/>
        </w:rPr>
      </w:pPr>
      <w:r w:rsidRPr="006F169C">
        <w:rPr>
          <w:rFonts w:cs="Arial"/>
        </w:rPr>
        <w:br w:type="page"/>
      </w:r>
    </w:p>
    <w:p w:rsidR="00594E41" w:rsidRPr="006F169C" w:rsidRDefault="00594E41" w:rsidP="00594E41">
      <w:pPr>
        <w:pStyle w:val="AHPRADocumentsubheading"/>
      </w:pPr>
      <w:r w:rsidRPr="006F169C">
        <w:lastRenderedPageBreak/>
        <w:t xml:space="preserve">Outcomes* of completed </w:t>
      </w:r>
      <w:r>
        <w:t>panel hearings</w:t>
      </w:r>
      <w:r w:rsidRPr="006F169C">
        <w:t xml:space="preserve"> resulting in closure</w:t>
      </w:r>
    </w:p>
    <w:tbl>
      <w:tblPr>
        <w:tblW w:w="14120" w:type="dxa"/>
        <w:tblLook w:val="04A0" w:firstRow="1" w:lastRow="0" w:firstColumn="1" w:lastColumn="0" w:noHBand="0" w:noVBand="1"/>
      </w:tblPr>
      <w:tblGrid>
        <w:gridCol w:w="2960"/>
        <w:gridCol w:w="920"/>
        <w:gridCol w:w="920"/>
        <w:gridCol w:w="920"/>
        <w:gridCol w:w="920"/>
        <w:gridCol w:w="920"/>
        <w:gridCol w:w="920"/>
        <w:gridCol w:w="920"/>
        <w:gridCol w:w="920"/>
        <w:gridCol w:w="920"/>
        <w:gridCol w:w="960"/>
        <w:gridCol w:w="960"/>
        <w:gridCol w:w="960"/>
      </w:tblGrid>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Jul</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Aug</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Sep</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Oct</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Nov</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Dec</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Jan</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Feb</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Mar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Apr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May</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Jun</w:t>
            </w:r>
          </w:p>
        </w:tc>
      </w:tr>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Accept undertaking</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Caution</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Impose conditions</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12</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6</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No further action</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Practitioner surrender</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D50BC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D50BC1" w:rsidRDefault="00D50BC1" w:rsidP="00D50BC1">
            <w:pPr>
              <w:spacing w:after="0"/>
              <w:rPr>
                <w:rFonts w:eastAsia="Times New Roman" w:cs="Arial"/>
                <w:color w:val="000000"/>
                <w:sz w:val="20"/>
                <w:szCs w:val="22"/>
                <w:lang w:val="en-US"/>
              </w:rPr>
            </w:pPr>
            <w:r>
              <w:rPr>
                <w:rFonts w:eastAsia="Times New Roman" w:cs="Arial"/>
                <w:color w:val="000000"/>
                <w:sz w:val="20"/>
                <w:szCs w:val="22"/>
                <w:lang w:val="en-US"/>
              </w:rPr>
              <w:t>Reprimand</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6</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D50BC1" w:rsidRPr="009F7919" w:rsidRDefault="00D50BC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D50BC1" w:rsidRPr="009F7919" w:rsidRDefault="00D50BC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D50BC1" w:rsidRPr="009F7919" w:rsidRDefault="00D50BC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5</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9</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4</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bl>
    <w:p w:rsidR="00594E41" w:rsidRPr="006F169C" w:rsidRDefault="00594E41" w:rsidP="00594E41">
      <w:pPr>
        <w:pStyle w:val="AHPRAbody"/>
        <w:spacing w:before="120"/>
      </w:pPr>
    </w:p>
    <w:p w:rsidR="00594E41" w:rsidRPr="006F169C" w:rsidRDefault="00594E41" w:rsidP="00594E41">
      <w:pPr>
        <w:pStyle w:val="AHPRAbody"/>
        <w:spacing w:before="120"/>
      </w:pPr>
      <w:r w:rsidRPr="006F169C">
        <w:t xml:space="preserve">This table shows the outcomes of each </w:t>
      </w:r>
      <w:r>
        <w:t>panel hearings</w:t>
      </w:r>
      <w:r w:rsidRPr="006F169C">
        <w:t xml:space="preserve"> completed by a National Board or its delegate about a complaint about a registered practitioner with                                              a PPP of Queensland by quarter.</w:t>
      </w:r>
    </w:p>
    <w:p w:rsidR="00594E41" w:rsidRPr="006F169C" w:rsidRDefault="00594E41" w:rsidP="00594E41">
      <w:pPr>
        <w:pStyle w:val="AHPRAbody"/>
        <w:spacing w:before="120"/>
      </w:pPr>
      <w:r w:rsidRPr="006F169C">
        <w:t xml:space="preserve">*A completed notification may have more than one outcome. </w:t>
      </w:r>
    </w:p>
    <w:p w:rsidR="009E4A67" w:rsidRPr="006F169C" w:rsidRDefault="009E4A67">
      <w:pPr>
        <w:spacing w:after="0"/>
        <w:rPr>
          <w:rFonts w:cs="Arial"/>
        </w:rPr>
      </w:pPr>
    </w:p>
    <w:p w:rsidR="009E4A67" w:rsidRPr="006F169C" w:rsidRDefault="009E4A67">
      <w:pPr>
        <w:spacing w:after="0"/>
        <w:rPr>
          <w:rFonts w:cs="Arial"/>
        </w:rPr>
      </w:pPr>
      <w:r w:rsidRPr="006F169C">
        <w:rPr>
          <w:rFonts w:cs="Arial"/>
        </w:rPr>
        <w:br w:type="page"/>
      </w:r>
    </w:p>
    <w:p w:rsidR="009E4A67" w:rsidRPr="006F169C" w:rsidRDefault="009E4A67">
      <w:pPr>
        <w:spacing w:after="0"/>
        <w:rPr>
          <w:rFonts w:cs="Arial"/>
          <w:color w:val="5F6062"/>
          <w:sz w:val="28"/>
          <w:szCs w:val="52"/>
        </w:rPr>
      </w:pPr>
    </w:p>
    <w:p w:rsidR="009B7F66" w:rsidRPr="006F169C" w:rsidRDefault="009B7F66" w:rsidP="009B7F66">
      <w:pPr>
        <w:pStyle w:val="AHPRADocumentsubheading"/>
      </w:pPr>
      <w:r w:rsidRPr="006F169C">
        <w:t>Timeliness of open matters in tribunal hearing</w:t>
      </w:r>
    </w:p>
    <w:p w:rsidR="009B7F66" w:rsidRPr="006F169C" w:rsidRDefault="009B7F66" w:rsidP="009B7F66">
      <w:pPr>
        <w:rPr>
          <w:rFonts w:cs="Arial"/>
        </w:rPr>
      </w:pPr>
      <w:r w:rsidRPr="006F169C">
        <w:rPr>
          <w:rFonts w:cs="Arial"/>
          <w:noProof/>
          <w:lang w:eastAsia="en-AU"/>
        </w:rPr>
        <w:drawing>
          <wp:inline distT="0" distB="0" distL="0" distR="0">
            <wp:extent cx="8721258" cy="2855343"/>
            <wp:effectExtent l="19050" t="0" r="22692" b="2157"/>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4A67" w:rsidRPr="006F169C" w:rsidRDefault="009E4A67" w:rsidP="009B7F66">
      <w:pPr>
        <w:rPr>
          <w:rFonts w:cs="Arial"/>
        </w:rPr>
      </w:pPr>
    </w:p>
    <w:tbl>
      <w:tblPr>
        <w:tblW w:w="14704" w:type="dxa"/>
        <w:tblInd w:w="108" w:type="dxa"/>
        <w:tblLook w:val="04A0" w:firstRow="1" w:lastRow="0" w:firstColumn="1" w:lastColumn="0" w:noHBand="0" w:noVBand="1"/>
      </w:tblPr>
      <w:tblGrid>
        <w:gridCol w:w="3448"/>
        <w:gridCol w:w="928"/>
        <w:gridCol w:w="928"/>
        <w:gridCol w:w="928"/>
        <w:gridCol w:w="928"/>
        <w:gridCol w:w="928"/>
        <w:gridCol w:w="928"/>
        <w:gridCol w:w="928"/>
        <w:gridCol w:w="928"/>
        <w:gridCol w:w="928"/>
        <w:gridCol w:w="968"/>
        <w:gridCol w:w="968"/>
        <w:gridCol w:w="968"/>
      </w:tblGrid>
      <w:tr w:rsidR="009E4A67" w:rsidRPr="006F169C" w:rsidTr="00870C15">
        <w:trPr>
          <w:trHeight w:val="300"/>
        </w:trPr>
        <w:tc>
          <w:tcPr>
            <w:tcW w:w="344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rPr>
                <w:rFonts w:eastAsia="Times New Roman" w:cs="Arial"/>
                <w:color w:val="000000"/>
                <w:sz w:val="20"/>
                <w:szCs w:val="22"/>
                <w:lang w:eastAsia="en-AU"/>
              </w:rPr>
            </w:pPr>
            <w:r w:rsidRPr="006F169C">
              <w:rPr>
                <w:rFonts w:eastAsia="Times New Roman" w:cs="Arial"/>
                <w:color w:val="000000"/>
                <w:sz w:val="20"/>
                <w:szCs w:val="22"/>
                <w:lang w:eastAsia="en-AU"/>
              </w:rPr>
              <w:t>Tribunal Hearing</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Jul</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Aug</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Sep</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Oct</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Nov</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Dec</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Jan</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Feb</w:t>
            </w:r>
          </w:p>
        </w:tc>
        <w:tc>
          <w:tcPr>
            <w:tcW w:w="92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Mar</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Apr</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May</w:t>
            </w:r>
          </w:p>
        </w:tc>
        <w:tc>
          <w:tcPr>
            <w:tcW w:w="968" w:type="dxa"/>
            <w:tcBorders>
              <w:top w:val="single" w:sz="4" w:space="0" w:color="auto"/>
              <w:left w:val="nil"/>
              <w:bottom w:val="single" w:sz="4" w:space="0" w:color="auto"/>
              <w:right w:val="single" w:sz="4" w:space="0" w:color="auto"/>
            </w:tcBorders>
            <w:shd w:val="clear" w:color="000000" w:fill="D9D9D9"/>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Jun</w:t>
            </w: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6F169C" w:rsidRDefault="009E4A67" w:rsidP="00870C15">
            <w:pPr>
              <w:spacing w:after="0"/>
              <w:rPr>
                <w:rFonts w:eastAsia="Times New Roman" w:cs="Arial"/>
                <w:color w:val="000000"/>
                <w:sz w:val="20"/>
                <w:szCs w:val="22"/>
                <w:lang w:eastAsia="en-AU"/>
              </w:rPr>
            </w:pPr>
            <w:r w:rsidRPr="006F169C">
              <w:rPr>
                <w:rFonts w:eastAsia="Times New Roman" w:cs="Arial"/>
                <w:color w:val="000000"/>
                <w:sz w:val="20"/>
                <w:szCs w:val="22"/>
                <w:lang w:eastAsia="en-AU"/>
              </w:rPr>
              <w:t>up to 6 months</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48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38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16</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11</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12</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8</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11</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12</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6F169C" w:rsidRDefault="009E4A67" w:rsidP="00870C15">
            <w:pPr>
              <w:spacing w:after="0"/>
              <w:rPr>
                <w:rFonts w:eastAsia="Times New Roman" w:cs="Arial"/>
                <w:color w:val="000000"/>
                <w:sz w:val="20"/>
                <w:szCs w:val="22"/>
                <w:lang w:eastAsia="en-AU"/>
              </w:rPr>
            </w:pPr>
            <w:r w:rsidRPr="006F169C">
              <w:rPr>
                <w:rFonts w:eastAsia="Times New Roman" w:cs="Arial"/>
                <w:color w:val="000000"/>
                <w:sz w:val="20"/>
                <w:szCs w:val="22"/>
                <w:lang w:eastAsia="en-AU"/>
              </w:rPr>
              <w:t>above 6 months</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94</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101</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121</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120</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124</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127</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121</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121</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119</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r>
      <w:tr w:rsidR="009E4A67" w:rsidRPr="006F169C" w:rsidTr="00870C15">
        <w:trPr>
          <w:trHeight w:val="300"/>
        </w:trPr>
        <w:tc>
          <w:tcPr>
            <w:tcW w:w="3448" w:type="dxa"/>
            <w:tcBorders>
              <w:top w:val="nil"/>
              <w:left w:val="single" w:sz="4" w:space="0" w:color="auto"/>
              <w:bottom w:val="single" w:sz="4" w:space="0" w:color="auto"/>
              <w:right w:val="single" w:sz="4" w:space="0" w:color="auto"/>
            </w:tcBorders>
            <w:shd w:val="clear" w:color="000000" w:fill="D9D9D9"/>
            <w:noWrap/>
            <w:vAlign w:val="center"/>
            <w:hideMark/>
          </w:tcPr>
          <w:p w:rsidR="009E4A67" w:rsidRPr="006F169C" w:rsidRDefault="009E4A67" w:rsidP="00870C15">
            <w:pPr>
              <w:spacing w:after="0"/>
              <w:rPr>
                <w:rFonts w:eastAsia="Times New Roman" w:cs="Arial"/>
                <w:color w:val="000000"/>
                <w:sz w:val="20"/>
                <w:szCs w:val="22"/>
                <w:lang w:eastAsia="en-AU"/>
              </w:rPr>
            </w:pPr>
            <w:r w:rsidRPr="006F169C">
              <w:rPr>
                <w:rFonts w:eastAsia="Times New Roman" w:cs="Arial"/>
                <w:color w:val="000000"/>
                <w:sz w:val="20"/>
                <w:szCs w:val="22"/>
                <w:lang w:eastAsia="en-AU"/>
              </w:rPr>
              <w:t>Total</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142</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139</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137</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135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135</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139</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129</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132</w:t>
            </w:r>
          </w:p>
        </w:tc>
        <w:tc>
          <w:tcPr>
            <w:tcW w:w="92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r w:rsidRPr="006F169C">
              <w:rPr>
                <w:rFonts w:eastAsia="Times New Roman" w:cs="Arial"/>
                <w:color w:val="000000"/>
                <w:sz w:val="18"/>
                <w:szCs w:val="22"/>
                <w:lang w:eastAsia="en-AU"/>
              </w:rPr>
              <w:t>131</w:t>
            </w: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c>
          <w:tcPr>
            <w:tcW w:w="968" w:type="dxa"/>
            <w:tcBorders>
              <w:top w:val="nil"/>
              <w:left w:val="nil"/>
              <w:bottom w:val="single" w:sz="4" w:space="0" w:color="auto"/>
              <w:right w:val="single" w:sz="4" w:space="0" w:color="auto"/>
            </w:tcBorders>
            <w:shd w:val="clear" w:color="auto" w:fill="auto"/>
            <w:noWrap/>
            <w:vAlign w:val="center"/>
            <w:hideMark/>
          </w:tcPr>
          <w:p w:rsidR="009E4A67" w:rsidRPr="006F169C" w:rsidRDefault="009E4A67" w:rsidP="00870C15">
            <w:pPr>
              <w:spacing w:after="0"/>
              <w:jc w:val="center"/>
              <w:rPr>
                <w:rFonts w:eastAsia="Times New Roman" w:cs="Arial"/>
                <w:color w:val="000000"/>
                <w:sz w:val="18"/>
                <w:szCs w:val="22"/>
                <w:lang w:eastAsia="en-AU"/>
              </w:rPr>
            </w:pPr>
          </w:p>
        </w:tc>
      </w:tr>
    </w:tbl>
    <w:p w:rsidR="005935E5" w:rsidRDefault="005935E5" w:rsidP="005935E5">
      <w:pPr>
        <w:pStyle w:val="AHPRAbody"/>
      </w:pPr>
    </w:p>
    <w:p w:rsidR="005935E5" w:rsidRDefault="005935E5" w:rsidP="005935E5">
      <w:pPr>
        <w:pStyle w:val="AHPRAbody"/>
      </w:pPr>
      <w:r>
        <w:t>This table shows the number of matters referred by a National Board to the Queensland Civil and Administrative Tribunal. The 131 complaints relate to only 63 individual partitioners, as many of the practitioners have multiple complaints awaiting hearing.</w:t>
      </w:r>
    </w:p>
    <w:p w:rsidR="005935E5" w:rsidRDefault="005935E5" w:rsidP="005935E5">
      <w:pPr>
        <w:pStyle w:val="AHPRAbody"/>
      </w:pPr>
      <w:r>
        <w:t>10 of the complaints are briefed to lawyers acting for the relevant Board and are yet to be filed with the tribunal.</w:t>
      </w:r>
    </w:p>
    <w:p w:rsidR="005935E5" w:rsidRDefault="005935E5" w:rsidP="005935E5">
      <w:pPr>
        <w:pStyle w:val="AHPRAbody"/>
      </w:pPr>
      <w:r w:rsidRPr="003C6106">
        <w:t>Of the</w:t>
      </w:r>
      <w:r>
        <w:t xml:space="preserve"> remaining 121 complaints, 22 have been heard by the tribunal and are awaiting publication of the tribunal’s decision. 48 of the complaints have hearing dates listed and are awaiting hearing before the tribunal.</w:t>
      </w:r>
    </w:p>
    <w:p w:rsidR="009E4A67" w:rsidRPr="006F169C" w:rsidRDefault="009E4A67">
      <w:pPr>
        <w:spacing w:after="0"/>
        <w:rPr>
          <w:rFonts w:cs="Arial"/>
        </w:rPr>
      </w:pPr>
    </w:p>
    <w:tbl>
      <w:tblPr>
        <w:tblW w:w="0" w:type="auto"/>
        <w:tblCellSpacing w:w="7" w:type="dxa"/>
        <w:tblLayout w:type="fixed"/>
        <w:tblCellMar>
          <w:top w:w="30" w:type="dxa"/>
          <w:left w:w="30" w:type="dxa"/>
          <w:bottom w:w="30" w:type="dxa"/>
          <w:right w:w="30" w:type="dxa"/>
        </w:tblCellMar>
        <w:tblLook w:val="04A0" w:firstRow="1" w:lastRow="0" w:firstColumn="1" w:lastColumn="0" w:noHBand="0" w:noVBand="1"/>
      </w:tblPr>
      <w:tblGrid>
        <w:gridCol w:w="14544"/>
      </w:tblGrid>
      <w:tr w:rsidR="00594E41" w:rsidRPr="006F169C" w:rsidTr="00D50BC1">
        <w:trPr>
          <w:tblCellSpacing w:w="7" w:type="dxa"/>
        </w:trPr>
        <w:tc>
          <w:tcPr>
            <w:tcW w:w="14516" w:type="dxa"/>
            <w:vAlign w:val="center"/>
            <w:hideMark/>
          </w:tcPr>
          <w:p w:rsidR="00594E41" w:rsidRPr="006F169C" w:rsidRDefault="00594E41" w:rsidP="00594E41">
            <w:pPr>
              <w:pStyle w:val="AHPRADocumentsubheading"/>
            </w:pPr>
            <w:r w:rsidRPr="006F169C">
              <w:t xml:space="preserve">Number of completed </w:t>
            </w:r>
            <w:r>
              <w:t>tribunal hearings</w:t>
            </w:r>
          </w:p>
        </w:tc>
      </w:tr>
      <w:tr w:rsidR="00594E41" w:rsidRPr="006F169C" w:rsidTr="00D50BC1">
        <w:trPr>
          <w:tblCellSpacing w:w="7" w:type="dxa"/>
        </w:trPr>
        <w:tc>
          <w:tcPr>
            <w:tcW w:w="14516" w:type="dxa"/>
            <w:vAlign w:val="center"/>
            <w:hideMark/>
          </w:tcPr>
          <w:tbl>
            <w:tblPr>
              <w:tblW w:w="14282" w:type="dxa"/>
              <w:tblCellSpacing w:w="0" w:type="dxa"/>
              <w:tblLayout w:type="fixed"/>
              <w:tblCellMar>
                <w:left w:w="0" w:type="dxa"/>
                <w:right w:w="0" w:type="dxa"/>
              </w:tblCellMar>
              <w:tblLook w:val="04A0" w:firstRow="1" w:lastRow="0" w:firstColumn="1" w:lastColumn="0" w:noHBand="0" w:noVBand="1"/>
            </w:tblPr>
            <w:tblGrid>
              <w:gridCol w:w="14282"/>
            </w:tblGrid>
            <w:tr w:rsidR="00594E41" w:rsidRPr="006F169C" w:rsidTr="00D50BC1">
              <w:trPr>
                <w:trHeight w:val="1214"/>
                <w:tblCellSpacing w:w="0" w:type="dxa"/>
              </w:trPr>
              <w:tc>
                <w:tcPr>
                  <w:tcW w:w="14282" w:type="dxa"/>
                  <w:hideMark/>
                </w:tcPr>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40"/>
                    <w:gridCol w:w="386"/>
                    <w:gridCol w:w="141"/>
                    <w:gridCol w:w="682"/>
                    <w:gridCol w:w="199"/>
                    <w:gridCol w:w="624"/>
                    <w:gridCol w:w="256"/>
                    <w:gridCol w:w="568"/>
                    <w:gridCol w:w="312"/>
                    <w:gridCol w:w="511"/>
                    <w:gridCol w:w="369"/>
                    <w:gridCol w:w="454"/>
                    <w:gridCol w:w="426"/>
                    <w:gridCol w:w="397"/>
                    <w:gridCol w:w="483"/>
                    <w:gridCol w:w="341"/>
                    <w:gridCol w:w="540"/>
                    <w:gridCol w:w="283"/>
                    <w:gridCol w:w="635"/>
                    <w:gridCol w:w="189"/>
                    <w:gridCol w:w="729"/>
                    <w:gridCol w:w="94"/>
                    <w:gridCol w:w="824"/>
                  </w:tblGrid>
                  <w:tr w:rsidR="00594E41" w:rsidRPr="006F169C" w:rsidTr="00D50BC1">
                    <w:trPr>
                      <w:trHeight w:val="67"/>
                    </w:trPr>
                    <w:tc>
                      <w:tcPr>
                        <w:tcW w:w="4465" w:type="dxa"/>
                        <w:tcBorders>
                          <w:top w:val="nil"/>
                          <w:left w:val="nil"/>
                          <w:right w:val="nil"/>
                        </w:tcBorders>
                        <w:shd w:val="clear" w:color="auto" w:fill="auto"/>
                        <w:noWrap/>
                        <w:vAlign w:val="bottom"/>
                      </w:tcPr>
                      <w:p w:rsidR="00594E41" w:rsidRPr="006F169C" w:rsidRDefault="00594E41" w:rsidP="00D50BC1">
                        <w:pPr>
                          <w:spacing w:after="0"/>
                          <w:rPr>
                            <w:rFonts w:eastAsia="Times New Roman" w:cs="Arial"/>
                            <w:color w:val="000000"/>
                            <w:sz w:val="22"/>
                            <w:szCs w:val="22"/>
                            <w:lang w:val="en-US"/>
                          </w:rPr>
                        </w:pPr>
                      </w:p>
                    </w:tc>
                    <w:tc>
                      <w:tcPr>
                        <w:tcW w:w="443" w:type="dxa"/>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532"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1"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890"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c>
                      <w:tcPr>
                        <w:tcW w:w="928" w:type="dxa"/>
                        <w:gridSpan w:val="2"/>
                        <w:tcBorders>
                          <w:top w:val="nil"/>
                          <w:left w:val="nil"/>
                          <w:right w:val="nil"/>
                        </w:tcBorders>
                        <w:shd w:val="clear" w:color="auto" w:fill="auto"/>
                        <w:noWrap/>
                      </w:tcPr>
                      <w:p w:rsidR="00594E41" w:rsidRPr="006F169C" w:rsidRDefault="00594E41" w:rsidP="00D50BC1">
                        <w:pPr>
                          <w:spacing w:after="0"/>
                          <w:jc w:val="center"/>
                          <w:rPr>
                            <w:rFonts w:eastAsia="Times New Roman" w:cs="Arial"/>
                            <w:color w:val="000000"/>
                            <w:sz w:val="22"/>
                            <w:szCs w:val="22"/>
                            <w:lang w:val="en-US"/>
                          </w:rPr>
                        </w:pP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Jul</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Aug</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Sep</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Oct</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Nov</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Dec</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Jan</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Feb</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Mar</w:t>
                        </w:r>
                      </w:p>
                    </w:tc>
                    <w:tc>
                      <w:tcPr>
                        <w:tcW w:w="833"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Apr</w:t>
                        </w:r>
                      </w:p>
                    </w:tc>
                    <w:tc>
                      <w:tcPr>
                        <w:tcW w:w="832" w:type="dxa"/>
                        <w:gridSpan w:val="2"/>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May</w:t>
                        </w:r>
                      </w:p>
                    </w:tc>
                    <w:tc>
                      <w:tcPr>
                        <w:tcW w:w="833" w:type="dxa"/>
                        <w:shd w:val="clear" w:color="000000" w:fill="D8D8D8"/>
                        <w:noWrap/>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Jun</w:t>
                        </w: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Resulting in closure</w:t>
                        </w:r>
                      </w:p>
                    </w:tc>
                    <w:tc>
                      <w:tcPr>
                        <w:tcW w:w="832"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833"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5</w:t>
                        </w:r>
                      </w:p>
                    </w:tc>
                    <w:tc>
                      <w:tcPr>
                        <w:tcW w:w="832"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833"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832"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833"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832"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6</w:t>
                        </w:r>
                      </w:p>
                    </w:tc>
                    <w:tc>
                      <w:tcPr>
                        <w:tcW w:w="833"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832" w:type="dxa"/>
                        <w:gridSpan w:val="2"/>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833"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3" w:type="dxa"/>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p>
                    </w:tc>
                    <w:tc>
                      <w:tcPr>
                        <w:tcW w:w="832" w:type="dxa"/>
                        <w:gridSpan w:val="2"/>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833" w:type="dxa"/>
                        <w:gridSpan w:val="2"/>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833" w:type="dxa"/>
                        <w:gridSpan w:val="2"/>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833" w:type="dxa"/>
                        <w:gridSpan w:val="2"/>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833" w:type="dxa"/>
                        <w:gridSpan w:val="2"/>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833"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3" w:type="dxa"/>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67"/>
                    </w:trPr>
                    <w:tc>
                      <w:tcPr>
                        <w:tcW w:w="4465" w:type="dxa"/>
                        <w:shd w:val="clear" w:color="auto" w:fill="auto"/>
                        <w:noWrap/>
                        <w:vAlign w:val="bottom"/>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832"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5</w:t>
                        </w:r>
                      </w:p>
                    </w:tc>
                    <w:tc>
                      <w:tcPr>
                        <w:tcW w:w="832" w:type="dxa"/>
                        <w:gridSpan w:val="2"/>
                        <w:shd w:val="clear" w:color="auto" w:fill="auto"/>
                        <w:noWrap/>
                        <w:vAlign w:val="center"/>
                        <w:hideMark/>
                      </w:tcPr>
                      <w:p w:rsidR="00594E41" w:rsidRPr="006F169C" w:rsidRDefault="005935E5"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832" w:type="dxa"/>
                        <w:gridSpan w:val="2"/>
                        <w:shd w:val="clear" w:color="auto" w:fill="auto"/>
                        <w:noWrap/>
                        <w:vAlign w:val="center"/>
                        <w:hideMark/>
                      </w:tcPr>
                      <w:p w:rsidR="00594E41" w:rsidRPr="006F169C" w:rsidRDefault="005935E5"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832" w:type="dxa"/>
                        <w:gridSpan w:val="2"/>
                        <w:shd w:val="clear" w:color="auto" w:fill="auto"/>
                        <w:noWrap/>
                        <w:vAlign w:val="center"/>
                        <w:hideMark/>
                      </w:tcPr>
                      <w:p w:rsidR="00594E41" w:rsidRPr="006F169C" w:rsidRDefault="005935E5"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6</w:t>
                        </w:r>
                      </w:p>
                    </w:tc>
                    <w:tc>
                      <w:tcPr>
                        <w:tcW w:w="833" w:type="dxa"/>
                        <w:gridSpan w:val="2"/>
                        <w:shd w:val="clear" w:color="auto" w:fill="auto"/>
                        <w:noWrap/>
                        <w:vAlign w:val="center"/>
                        <w:hideMark/>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832" w:type="dxa"/>
                        <w:gridSpan w:val="2"/>
                        <w:shd w:val="clear" w:color="auto" w:fill="auto"/>
                        <w:noWrap/>
                        <w:vAlign w:val="center"/>
                      </w:tcPr>
                      <w:p w:rsidR="00594E41" w:rsidRPr="006F169C" w:rsidRDefault="00394BAC"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833"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2" w:type="dxa"/>
                        <w:gridSpan w:val="2"/>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c>
                      <w:tcPr>
                        <w:tcW w:w="833" w:type="dxa"/>
                        <w:shd w:val="clear" w:color="auto" w:fill="auto"/>
                        <w:noWrap/>
                        <w:vAlign w:val="center"/>
                        <w:hideMark/>
                      </w:tcPr>
                      <w:p w:rsidR="00594E41" w:rsidRPr="006F169C" w:rsidRDefault="00594E41" w:rsidP="00D50BC1">
                        <w:pPr>
                          <w:spacing w:after="0"/>
                          <w:jc w:val="center"/>
                          <w:rPr>
                            <w:rFonts w:eastAsia="Times New Roman" w:cs="Arial"/>
                            <w:color w:val="000000"/>
                            <w:sz w:val="18"/>
                            <w:szCs w:val="22"/>
                            <w:lang w:val="en-US"/>
                          </w:rPr>
                        </w:pPr>
                      </w:p>
                    </w:tc>
                  </w:tr>
                </w:tbl>
                <w:p w:rsidR="00594E41" w:rsidRPr="006F169C" w:rsidRDefault="00594E41" w:rsidP="00D50BC1">
                  <w:pPr>
                    <w:rPr>
                      <w:rFonts w:eastAsia="Times New Roman" w:cs="Arial"/>
                    </w:rPr>
                  </w:pPr>
                </w:p>
              </w:tc>
            </w:tr>
          </w:tbl>
          <w:p w:rsidR="00594E41" w:rsidRPr="006F169C" w:rsidRDefault="00594E41" w:rsidP="00D50BC1">
            <w:pPr>
              <w:rPr>
                <w:rFonts w:eastAsia="Times New Roman" w:cs="Arial"/>
              </w:rPr>
            </w:pPr>
          </w:p>
        </w:tc>
      </w:tr>
    </w:tbl>
    <w:p w:rsidR="00594E41" w:rsidRPr="006F169C" w:rsidRDefault="00594E41" w:rsidP="00594E41">
      <w:pPr>
        <w:pStyle w:val="AHPRAbody"/>
      </w:pPr>
    </w:p>
    <w:p w:rsidR="00594E41" w:rsidRPr="006F169C" w:rsidRDefault="00594E41" w:rsidP="00594E41">
      <w:pPr>
        <w:pStyle w:val="AHPRADocumentsubheading"/>
      </w:pPr>
      <w:r w:rsidRPr="006F169C">
        <w:t xml:space="preserve">Timeliness of completed </w:t>
      </w:r>
      <w:r>
        <w:t>tribunal hearings resulting in closure</w:t>
      </w:r>
    </w:p>
    <w:tbl>
      <w:tblPr>
        <w:tblW w:w="14120" w:type="dxa"/>
        <w:tblLook w:val="04A0" w:firstRow="1" w:lastRow="0" w:firstColumn="1" w:lastColumn="0" w:noHBand="0" w:noVBand="1"/>
      </w:tblPr>
      <w:tblGrid>
        <w:gridCol w:w="2960"/>
        <w:gridCol w:w="920"/>
        <w:gridCol w:w="920"/>
        <w:gridCol w:w="920"/>
        <w:gridCol w:w="920"/>
        <w:gridCol w:w="920"/>
        <w:gridCol w:w="920"/>
        <w:gridCol w:w="920"/>
        <w:gridCol w:w="920"/>
        <w:gridCol w:w="920"/>
        <w:gridCol w:w="960"/>
        <w:gridCol w:w="960"/>
        <w:gridCol w:w="960"/>
      </w:tblGrid>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Jul</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Aug</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Sep</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Oct</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Nov</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Dec</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Jan</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Feb</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Apr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May</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6F169C" w:rsidRDefault="00594E41" w:rsidP="00D50BC1">
            <w:pPr>
              <w:spacing w:after="0"/>
              <w:jc w:val="center"/>
              <w:rPr>
                <w:rFonts w:eastAsia="Times New Roman" w:cs="Arial"/>
                <w:color w:val="000000"/>
                <w:sz w:val="18"/>
                <w:szCs w:val="22"/>
                <w:lang w:val="en-US"/>
              </w:rPr>
            </w:pPr>
            <w:r w:rsidRPr="006F169C">
              <w:rPr>
                <w:rFonts w:eastAsia="Times New Roman" w:cs="Arial"/>
                <w:color w:val="000000"/>
                <w:sz w:val="18"/>
                <w:szCs w:val="22"/>
                <w:lang w:val="en-US"/>
              </w:rPr>
              <w:t>Jun</w:t>
            </w: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 xml:space="preserve">up to </w:t>
            </w:r>
            <w:r>
              <w:rPr>
                <w:rFonts w:eastAsia="Times New Roman" w:cs="Arial"/>
                <w:color w:val="000000"/>
                <w:sz w:val="20"/>
                <w:szCs w:val="22"/>
                <w:lang w:val="en-US"/>
              </w:rPr>
              <w:t>6 months</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35E5"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35E5"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35E5"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35E5"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35E5"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35E5"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35E5"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35E5"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5935E5"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 xml:space="preserve">over 6 </w:t>
            </w:r>
            <w:r>
              <w:rPr>
                <w:rFonts w:eastAsia="Times New Roman" w:cs="Arial"/>
                <w:color w:val="000000"/>
                <w:sz w:val="20"/>
                <w:szCs w:val="22"/>
                <w:lang w:val="en-US"/>
              </w:rPr>
              <w:t>months</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5</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6</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5</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4</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6</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6F169C" w:rsidRDefault="00D50BC1" w:rsidP="00D50BC1">
            <w:pPr>
              <w:spacing w:after="0"/>
              <w:jc w:val="center"/>
              <w:rPr>
                <w:rFonts w:eastAsia="Times New Roman" w:cs="Arial"/>
                <w:color w:val="000000"/>
                <w:sz w:val="18"/>
                <w:szCs w:val="22"/>
                <w:lang w:val="en-US"/>
              </w:rPr>
            </w:pPr>
            <w:r>
              <w:rPr>
                <w:rFonts w:eastAsia="Times New Roman" w:cs="Arial"/>
                <w:color w:val="000000"/>
                <w:sz w:val="18"/>
                <w:szCs w:val="22"/>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6F169C" w:rsidRDefault="00594E41" w:rsidP="00D50BC1">
            <w:pPr>
              <w:spacing w:after="0"/>
              <w:jc w:val="center"/>
              <w:rPr>
                <w:rFonts w:eastAsia="Times New Roman" w:cs="Arial"/>
                <w:color w:val="000000"/>
                <w:sz w:val="18"/>
                <w:szCs w:val="22"/>
                <w:lang w:val="en-US"/>
              </w:rPr>
            </w:pPr>
          </w:p>
        </w:tc>
      </w:tr>
    </w:tbl>
    <w:p w:rsidR="00594E41" w:rsidRPr="006F169C" w:rsidRDefault="00594E41" w:rsidP="00594E41">
      <w:pPr>
        <w:pStyle w:val="AHPRAbody"/>
      </w:pPr>
    </w:p>
    <w:p w:rsidR="00594E41" w:rsidRPr="006F169C" w:rsidRDefault="005935E5" w:rsidP="00594E41">
      <w:pPr>
        <w:pStyle w:val="AHPRAbody"/>
      </w:pPr>
      <w:r>
        <w:t>These</w:t>
      </w:r>
      <w:r w:rsidR="00594E41" w:rsidRPr="006F169C">
        <w:t xml:space="preserve"> </w:t>
      </w:r>
      <w:r>
        <w:t>tables</w:t>
      </w:r>
      <w:r w:rsidR="00594E41" w:rsidRPr="006F169C">
        <w:t xml:space="preserve"> </w:t>
      </w:r>
      <w:r w:rsidR="001C245F">
        <w:t>show</w:t>
      </w:r>
      <w:r w:rsidR="00594E41" w:rsidRPr="006F169C">
        <w:t xml:space="preserve"> the number of completed </w:t>
      </w:r>
      <w:r w:rsidR="00594E41">
        <w:t>tribunal hearings</w:t>
      </w:r>
      <w:r w:rsidR="00594E41" w:rsidRPr="006F169C">
        <w:t xml:space="preserve"> about practitioners with a PPP in Queensland closed by a National Board in each month, including the </w:t>
      </w:r>
      <w:r>
        <w:t>time</w:t>
      </w:r>
      <w:r w:rsidR="00594E41" w:rsidRPr="006F169C">
        <w:t xml:space="preserve"> that the complaint remained open. </w:t>
      </w:r>
      <w:r w:rsidR="00594E41" w:rsidRPr="006F169C">
        <w:br w:type="page"/>
      </w:r>
    </w:p>
    <w:p w:rsidR="00594E41" w:rsidRPr="006F169C" w:rsidRDefault="00594E41" w:rsidP="00594E41">
      <w:pPr>
        <w:pStyle w:val="AHPRADocumentsubheading"/>
      </w:pPr>
      <w:r w:rsidRPr="006F169C">
        <w:lastRenderedPageBreak/>
        <w:t xml:space="preserve">Outcomes* of completed </w:t>
      </w:r>
      <w:r>
        <w:t>tribunal hearings</w:t>
      </w:r>
      <w:r w:rsidRPr="006F169C">
        <w:t xml:space="preserve"> resulting in closure</w:t>
      </w:r>
    </w:p>
    <w:tbl>
      <w:tblPr>
        <w:tblW w:w="14120" w:type="dxa"/>
        <w:tblLook w:val="04A0" w:firstRow="1" w:lastRow="0" w:firstColumn="1" w:lastColumn="0" w:noHBand="0" w:noVBand="1"/>
      </w:tblPr>
      <w:tblGrid>
        <w:gridCol w:w="2960"/>
        <w:gridCol w:w="920"/>
        <w:gridCol w:w="920"/>
        <w:gridCol w:w="920"/>
        <w:gridCol w:w="920"/>
        <w:gridCol w:w="920"/>
        <w:gridCol w:w="920"/>
        <w:gridCol w:w="920"/>
        <w:gridCol w:w="920"/>
        <w:gridCol w:w="920"/>
        <w:gridCol w:w="960"/>
        <w:gridCol w:w="960"/>
        <w:gridCol w:w="960"/>
      </w:tblGrid>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Jul</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Aug</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Sep</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Oct</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Nov</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Dec</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Jan</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Feb</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Mar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Apr</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May</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594E41" w:rsidRPr="009F7919" w:rsidRDefault="00594E41" w:rsidP="00D50BC1">
            <w:pPr>
              <w:spacing w:after="0"/>
              <w:jc w:val="center"/>
              <w:rPr>
                <w:rFonts w:eastAsia="Times New Roman" w:cs="Arial"/>
                <w:color w:val="000000"/>
                <w:sz w:val="18"/>
                <w:szCs w:val="18"/>
                <w:lang w:val="en-US"/>
              </w:rPr>
            </w:pPr>
            <w:r w:rsidRPr="009F7919">
              <w:rPr>
                <w:rFonts w:eastAsia="Times New Roman" w:cs="Arial"/>
                <w:color w:val="000000"/>
                <w:sz w:val="18"/>
                <w:szCs w:val="18"/>
                <w:lang w:val="en-US"/>
              </w:rPr>
              <w:t>Jun</w:t>
            </w:r>
          </w:p>
        </w:tc>
      </w:tr>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Accept undertaking</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Caution</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394BAC"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BAC" w:rsidRDefault="00394BAC" w:rsidP="00D50BC1">
            <w:pPr>
              <w:spacing w:after="0"/>
              <w:rPr>
                <w:rFonts w:eastAsia="Times New Roman" w:cs="Arial"/>
                <w:color w:val="000000"/>
                <w:sz w:val="20"/>
                <w:szCs w:val="22"/>
                <w:lang w:val="en-US"/>
              </w:rPr>
            </w:pPr>
            <w:r>
              <w:rPr>
                <w:rFonts w:eastAsia="Times New Roman" w:cs="Arial"/>
                <w:color w:val="000000"/>
                <w:sz w:val="20"/>
                <w:szCs w:val="22"/>
                <w:lang w:val="en-US"/>
              </w:rPr>
              <w:t>Cancel registration</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394BAC"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394BAC"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394BAC" w:rsidP="00D50BC1">
            <w:pPr>
              <w:spacing w:after="0"/>
              <w:jc w:val="center"/>
              <w:rPr>
                <w:rFonts w:eastAsia="Times New Roman" w:cs="Arial"/>
                <w:color w:val="000000"/>
                <w:sz w:val="18"/>
                <w:szCs w:val="18"/>
                <w:lang w:val="en-US"/>
              </w:rPr>
            </w:pPr>
          </w:p>
        </w:tc>
      </w:tr>
      <w:tr w:rsidR="00394BAC" w:rsidRPr="006F169C" w:rsidTr="00D50BC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BAC" w:rsidRDefault="00394BAC" w:rsidP="00D50BC1">
            <w:pPr>
              <w:spacing w:after="0"/>
              <w:rPr>
                <w:rFonts w:eastAsia="Times New Roman" w:cs="Arial"/>
                <w:color w:val="000000"/>
                <w:sz w:val="20"/>
                <w:szCs w:val="22"/>
                <w:lang w:val="en-US"/>
              </w:rPr>
            </w:pPr>
            <w:r>
              <w:rPr>
                <w:rFonts w:eastAsia="Times New Roman" w:cs="Arial"/>
                <w:color w:val="000000"/>
                <w:sz w:val="20"/>
                <w:szCs w:val="22"/>
                <w:lang w:val="en-US"/>
              </w:rPr>
              <w:t>Fine registrant</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394BAC"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394BAC" w:rsidP="00D50BC1">
            <w:pPr>
              <w:spacing w:after="0"/>
              <w:jc w:val="center"/>
              <w:rPr>
                <w:rFonts w:eastAsia="Times New Roman" w:cs="Arial"/>
                <w:color w:val="000000"/>
                <w:sz w:val="18"/>
                <w:szCs w:val="18"/>
                <w:lang w:val="en-US"/>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394BAC" w:rsidRPr="009F7919" w:rsidRDefault="00394BAC"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Impose conditions</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No further action</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594E41" w:rsidRPr="006F169C" w:rsidRDefault="00594E41" w:rsidP="00D50BC1">
            <w:pPr>
              <w:spacing w:after="0"/>
              <w:rPr>
                <w:rFonts w:eastAsia="Times New Roman" w:cs="Arial"/>
                <w:color w:val="000000"/>
                <w:sz w:val="20"/>
                <w:szCs w:val="22"/>
                <w:lang w:val="en-US"/>
              </w:rPr>
            </w:pPr>
            <w:r>
              <w:rPr>
                <w:rFonts w:eastAsia="Times New Roman" w:cs="Arial"/>
                <w:color w:val="000000"/>
                <w:sz w:val="20"/>
                <w:szCs w:val="22"/>
                <w:lang w:val="en-US"/>
              </w:rPr>
              <w:t>Practitioner surrender</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r w:rsidR="00D50BC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D50BC1" w:rsidRDefault="00D50BC1" w:rsidP="00D50BC1">
            <w:pPr>
              <w:spacing w:after="0"/>
              <w:rPr>
                <w:rFonts w:eastAsia="Times New Roman" w:cs="Arial"/>
                <w:color w:val="000000"/>
                <w:sz w:val="20"/>
                <w:szCs w:val="22"/>
                <w:lang w:val="en-US"/>
              </w:rPr>
            </w:pPr>
            <w:r>
              <w:rPr>
                <w:rFonts w:eastAsia="Times New Roman" w:cs="Arial"/>
                <w:color w:val="000000"/>
                <w:sz w:val="20"/>
                <w:szCs w:val="22"/>
                <w:lang w:val="en-US"/>
              </w:rPr>
              <w:t>Reprimand</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5</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5</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50BC1" w:rsidRPr="009F7919" w:rsidRDefault="00D50BC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D50BC1" w:rsidRPr="009F7919" w:rsidRDefault="00D50BC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D50BC1" w:rsidRPr="009F7919" w:rsidRDefault="00D50BC1" w:rsidP="00D50BC1">
            <w:pPr>
              <w:spacing w:after="0"/>
              <w:jc w:val="center"/>
              <w:rPr>
                <w:rFonts w:eastAsia="Times New Roman" w:cs="Arial"/>
                <w:color w:val="000000"/>
                <w:sz w:val="18"/>
                <w:szCs w:val="18"/>
                <w:lang w:val="en-US"/>
              </w:rPr>
            </w:pPr>
          </w:p>
        </w:tc>
      </w:tr>
      <w:tr w:rsidR="00D50BC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tcPr>
          <w:p w:rsidR="00D50BC1" w:rsidRDefault="00D50BC1" w:rsidP="00394BAC">
            <w:pPr>
              <w:spacing w:after="0"/>
              <w:rPr>
                <w:rFonts w:eastAsia="Times New Roman" w:cs="Arial"/>
                <w:color w:val="000000"/>
                <w:sz w:val="20"/>
                <w:szCs w:val="22"/>
                <w:lang w:val="en-US"/>
              </w:rPr>
            </w:pPr>
            <w:r>
              <w:rPr>
                <w:rFonts w:eastAsia="Times New Roman" w:cs="Arial"/>
                <w:color w:val="000000"/>
                <w:sz w:val="20"/>
                <w:szCs w:val="22"/>
                <w:lang w:val="en-US"/>
              </w:rPr>
              <w:t xml:space="preserve">Suspend </w:t>
            </w:r>
            <w:r w:rsidR="00394BAC">
              <w:rPr>
                <w:rFonts w:eastAsia="Times New Roman" w:cs="Arial"/>
                <w:color w:val="000000"/>
                <w:sz w:val="20"/>
                <w:szCs w:val="22"/>
                <w:lang w:val="en-US"/>
              </w:rPr>
              <w:t>r</w:t>
            </w:r>
            <w:r>
              <w:rPr>
                <w:rFonts w:eastAsia="Times New Roman" w:cs="Arial"/>
                <w:color w:val="000000"/>
                <w:sz w:val="20"/>
                <w:szCs w:val="22"/>
                <w:lang w:val="en-US"/>
              </w:rPr>
              <w:t>egistration</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D50BC1"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2</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D50BC1" w:rsidRPr="009F7919" w:rsidRDefault="005935E5"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D50BC1" w:rsidRPr="009F7919" w:rsidRDefault="00D50BC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D50BC1" w:rsidRPr="009F7919" w:rsidRDefault="00D50BC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D50BC1" w:rsidRPr="009F7919" w:rsidRDefault="00D50BC1" w:rsidP="00D50BC1">
            <w:pPr>
              <w:spacing w:after="0"/>
              <w:jc w:val="center"/>
              <w:rPr>
                <w:rFonts w:eastAsia="Times New Roman" w:cs="Arial"/>
                <w:color w:val="000000"/>
                <w:sz w:val="18"/>
                <w:szCs w:val="18"/>
                <w:lang w:val="en-US"/>
              </w:rPr>
            </w:pPr>
          </w:p>
        </w:tc>
      </w:tr>
      <w:tr w:rsidR="00594E41" w:rsidRPr="006F169C" w:rsidTr="00D50BC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94E41" w:rsidRPr="006F169C" w:rsidRDefault="00594E41" w:rsidP="00D50BC1">
            <w:pPr>
              <w:spacing w:after="0"/>
              <w:rPr>
                <w:rFonts w:eastAsia="Times New Roman" w:cs="Arial"/>
                <w:color w:val="000000"/>
                <w:sz w:val="20"/>
                <w:szCs w:val="22"/>
                <w:lang w:val="en-US"/>
              </w:rPr>
            </w:pPr>
            <w:r w:rsidRPr="006F169C">
              <w:rPr>
                <w:rFonts w:eastAsia="Times New Roman" w:cs="Arial"/>
                <w:color w:val="000000"/>
                <w:sz w:val="20"/>
                <w:szCs w:val="22"/>
                <w:lang w:val="en-US"/>
              </w:rPr>
              <w:t>Total</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D50BC1"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r w:rsidR="005935E5">
              <w:rPr>
                <w:rFonts w:eastAsia="Times New Roman" w:cs="Arial"/>
                <w:color w:val="000000"/>
                <w:sz w:val="18"/>
                <w:szCs w:val="18"/>
                <w:lang w:val="en-US"/>
              </w:rPr>
              <w:t>0</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8</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5</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12</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20" w:type="dxa"/>
            <w:tcBorders>
              <w:top w:val="nil"/>
              <w:left w:val="nil"/>
              <w:bottom w:val="single" w:sz="4" w:space="0" w:color="auto"/>
              <w:right w:val="single" w:sz="4" w:space="0" w:color="auto"/>
            </w:tcBorders>
            <w:shd w:val="clear" w:color="auto" w:fill="auto"/>
            <w:noWrap/>
            <w:vAlign w:val="center"/>
          </w:tcPr>
          <w:p w:rsidR="00594E41" w:rsidRPr="009F7919" w:rsidRDefault="00394BAC" w:rsidP="00D50BC1">
            <w:pPr>
              <w:spacing w:after="0"/>
              <w:jc w:val="center"/>
              <w:rPr>
                <w:rFonts w:eastAsia="Times New Roman" w:cs="Arial"/>
                <w:color w:val="000000"/>
                <w:sz w:val="18"/>
                <w:szCs w:val="18"/>
                <w:lang w:val="en-US"/>
              </w:rPr>
            </w:pPr>
            <w:r>
              <w:rPr>
                <w:rFonts w:eastAsia="Times New Roman" w:cs="Arial"/>
                <w:color w:val="000000"/>
                <w:sz w:val="18"/>
                <w:szCs w:val="18"/>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c>
          <w:tcPr>
            <w:tcW w:w="960" w:type="dxa"/>
            <w:tcBorders>
              <w:top w:val="nil"/>
              <w:left w:val="nil"/>
              <w:bottom w:val="single" w:sz="4" w:space="0" w:color="auto"/>
              <w:right w:val="single" w:sz="4" w:space="0" w:color="auto"/>
            </w:tcBorders>
            <w:shd w:val="clear" w:color="auto" w:fill="auto"/>
            <w:noWrap/>
            <w:vAlign w:val="center"/>
          </w:tcPr>
          <w:p w:rsidR="00594E41" w:rsidRPr="009F7919" w:rsidRDefault="00594E41" w:rsidP="00D50BC1">
            <w:pPr>
              <w:spacing w:after="0"/>
              <w:jc w:val="center"/>
              <w:rPr>
                <w:rFonts w:eastAsia="Times New Roman" w:cs="Arial"/>
                <w:color w:val="000000"/>
                <w:sz w:val="18"/>
                <w:szCs w:val="18"/>
                <w:lang w:val="en-US"/>
              </w:rPr>
            </w:pPr>
          </w:p>
        </w:tc>
      </w:tr>
    </w:tbl>
    <w:p w:rsidR="00594E41" w:rsidRPr="006F169C" w:rsidRDefault="00594E41" w:rsidP="00594E41">
      <w:pPr>
        <w:pStyle w:val="AHPRAbody"/>
        <w:spacing w:before="120"/>
      </w:pPr>
    </w:p>
    <w:p w:rsidR="00594E41" w:rsidRPr="006F169C" w:rsidRDefault="00594E41" w:rsidP="00594E41">
      <w:pPr>
        <w:pStyle w:val="AHPRAbody"/>
        <w:spacing w:before="120"/>
      </w:pPr>
      <w:r w:rsidRPr="006F169C">
        <w:t xml:space="preserve">This table shows the outcomes of each </w:t>
      </w:r>
      <w:r>
        <w:t>tribunal hearings</w:t>
      </w:r>
      <w:r w:rsidRPr="006F169C">
        <w:t xml:space="preserve"> completed by a National Board or its delegate about a complaint about a registered practitioner with                                              a PPP of Queensland by quarter.</w:t>
      </w:r>
    </w:p>
    <w:p w:rsidR="00594E41" w:rsidRPr="006F169C" w:rsidRDefault="00594E41" w:rsidP="00594E41">
      <w:pPr>
        <w:pStyle w:val="AHPRAbody"/>
        <w:spacing w:before="120"/>
      </w:pPr>
      <w:r w:rsidRPr="006F169C">
        <w:t xml:space="preserve">*A completed notification may have more than one outcome. </w:t>
      </w:r>
    </w:p>
    <w:p w:rsidR="009E4A67" w:rsidRPr="006F169C" w:rsidRDefault="009E4A67" w:rsidP="009B7F66">
      <w:pPr>
        <w:rPr>
          <w:rFonts w:cs="Arial"/>
        </w:rPr>
      </w:pPr>
    </w:p>
    <w:p w:rsidR="009E4A67" w:rsidRPr="006F169C" w:rsidRDefault="009E4A67" w:rsidP="009B7F66">
      <w:pPr>
        <w:rPr>
          <w:rFonts w:cs="Arial"/>
        </w:rPr>
      </w:pPr>
    </w:p>
    <w:sectPr w:rsidR="009E4A67" w:rsidRPr="006F169C" w:rsidSect="00D61BB1">
      <w:headerReference w:type="default" r:id="rId16"/>
      <w:footerReference w:type="even" r:id="rId17"/>
      <w:footerReference w:type="default" r:id="rId18"/>
      <w:headerReference w:type="first" r:id="rId19"/>
      <w:footerReference w:type="first" r:id="rId20"/>
      <w:pgSz w:w="16840" w:h="11900" w:orient="landscape"/>
      <w:pgMar w:top="1247" w:right="1392" w:bottom="1247" w:left="992"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F6" w:rsidRDefault="00AE29F6" w:rsidP="00FC2881">
      <w:pPr>
        <w:spacing w:after="0"/>
      </w:pPr>
      <w:r>
        <w:separator/>
      </w:r>
    </w:p>
    <w:p w:rsidR="00AE29F6" w:rsidRDefault="00AE29F6"/>
  </w:endnote>
  <w:endnote w:type="continuationSeparator" w:id="0">
    <w:p w:rsidR="00AE29F6" w:rsidRDefault="00AE29F6" w:rsidP="00FC2881">
      <w:pPr>
        <w:spacing w:after="0"/>
      </w:pPr>
      <w:r>
        <w:continuationSeparator/>
      </w:r>
    </w:p>
    <w:p w:rsidR="00AE29F6" w:rsidRDefault="00AE2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F6" w:rsidRDefault="00AE29F6" w:rsidP="00FC2881">
    <w:pPr>
      <w:pStyle w:val="AHPRAfootnote"/>
      <w:framePr w:wrap="around" w:vAnchor="text" w:hAnchor="margin" w:xAlign="right" w:y="1"/>
    </w:pPr>
    <w:r>
      <w:fldChar w:fldCharType="begin"/>
    </w:r>
    <w:r>
      <w:instrText xml:space="preserve">PAGE  </w:instrText>
    </w:r>
    <w:r>
      <w:fldChar w:fldCharType="end"/>
    </w:r>
  </w:p>
  <w:p w:rsidR="00AE29F6" w:rsidRDefault="00AE29F6" w:rsidP="00FC2881">
    <w:pPr>
      <w:pStyle w:val="AHPRAfootnote"/>
      <w:ind w:right="360"/>
    </w:pPr>
  </w:p>
  <w:p w:rsidR="00AE29F6" w:rsidRDefault="00AE29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F6" w:rsidRDefault="00AE29F6" w:rsidP="001506FE">
    <w:pPr>
      <w:pStyle w:val="AHPRAfooter"/>
      <w:rPr>
        <w:szCs w:val="16"/>
      </w:rPr>
    </w:pPr>
    <w:r>
      <w:rPr>
        <w:szCs w:val="16"/>
      </w:rPr>
      <w:t>Complaints management quarterly performance data/April 2015</w:t>
    </w:r>
  </w:p>
  <w:p w:rsidR="00AE29F6" w:rsidRPr="000E7E28" w:rsidRDefault="00CD655B" w:rsidP="000E7E28">
    <w:pPr>
      <w:pStyle w:val="AHPRApagenumber"/>
    </w:pPr>
    <w:sdt>
      <w:sdtPr>
        <w:id w:val="16333165"/>
        <w:docPartObj>
          <w:docPartGallery w:val="Page Numbers (Top of Page)"/>
          <w:docPartUnique/>
        </w:docPartObj>
      </w:sdtPr>
      <w:sdtEndPr/>
      <w:sdtContent>
        <w:r w:rsidR="00AE29F6" w:rsidRPr="000E7E28">
          <w:t xml:space="preserve">Page </w:t>
        </w:r>
        <w:r>
          <w:fldChar w:fldCharType="begin"/>
        </w:r>
        <w:r>
          <w:instrText xml:space="preserve"> PAGE </w:instrText>
        </w:r>
        <w:r>
          <w:fldChar w:fldCharType="separate"/>
        </w:r>
        <w:r>
          <w:rPr>
            <w:noProof/>
          </w:rPr>
          <w:t>2</w:t>
        </w:r>
        <w:r>
          <w:rPr>
            <w:noProof/>
          </w:rPr>
          <w:fldChar w:fldCharType="end"/>
        </w:r>
        <w:r w:rsidR="00AE29F6" w:rsidRPr="000E7E28">
          <w:t xml:space="preserve"> of </w:t>
        </w:r>
        <w:r>
          <w:fldChar w:fldCharType="begin"/>
        </w:r>
        <w:r>
          <w:instrText xml:space="preserve"> NUMPAGES  </w:instrText>
        </w:r>
        <w:r>
          <w:fldChar w:fldCharType="separate"/>
        </w:r>
        <w:r>
          <w:rPr>
            <w:noProof/>
          </w:rPr>
          <w:t>23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F6" w:rsidRPr="00E77E23" w:rsidRDefault="00AE29F6"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AE29F6" w:rsidRDefault="00AE29F6" w:rsidP="00E77E23">
    <w:pPr>
      <w:pStyle w:val="AHPRAfooter"/>
      <w:jc w:val="center"/>
    </w:pPr>
    <w:r w:rsidRPr="00AD312E">
      <w:t xml:space="preserve">G.P.O. Box 9958   </w:t>
    </w:r>
    <w:r w:rsidRPr="00E77E23">
      <w:rPr>
        <w:b/>
        <w:color w:val="007DC3"/>
        <w:szCs w:val="28"/>
      </w:rPr>
      <w:t>|</w:t>
    </w:r>
    <w:r w:rsidRPr="00AD312E">
      <w:t xml:space="preserve">   </w:t>
    </w:r>
    <w:r>
      <w:t>Brisbane</w:t>
    </w:r>
    <w:r w:rsidRPr="00AD312E">
      <w:t xml:space="preserve"> </w:t>
    </w:r>
    <w:r>
      <w:t>QLD 4</w:t>
    </w:r>
    <w:r w:rsidRPr="00AD312E">
      <w:t xml:space="preserve">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F6" w:rsidRDefault="00AE29F6" w:rsidP="000E7E28">
      <w:pPr>
        <w:spacing w:after="0"/>
      </w:pPr>
      <w:r>
        <w:separator/>
      </w:r>
    </w:p>
  </w:footnote>
  <w:footnote w:type="continuationSeparator" w:id="0">
    <w:p w:rsidR="00AE29F6" w:rsidRDefault="00AE29F6" w:rsidP="00FC2881">
      <w:pPr>
        <w:spacing w:after="0"/>
      </w:pPr>
      <w:r>
        <w:continuationSeparator/>
      </w:r>
    </w:p>
    <w:p w:rsidR="00AE29F6" w:rsidRDefault="00AE29F6"/>
  </w:footnote>
  <w:footnote w:type="continuationNotice" w:id="1">
    <w:p w:rsidR="00AE29F6" w:rsidRDefault="00AE29F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F6" w:rsidRPr="00315933" w:rsidRDefault="00AE29F6"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F6" w:rsidRDefault="00AE29F6" w:rsidP="00E844A0">
    <w:r>
      <w:rPr>
        <w:noProof/>
        <w:lang w:eastAsia="en-AU"/>
      </w:rPr>
      <w:drawing>
        <wp:anchor distT="0" distB="0" distL="114300" distR="114300" simplePos="0" relativeHeight="251659264" behindDoc="0" locked="0" layoutInCell="1" allowOverlap="1">
          <wp:simplePos x="0" y="0"/>
          <wp:positionH relativeFrom="page">
            <wp:posOffset>6971665</wp:posOffset>
          </wp:positionH>
          <wp:positionV relativeFrom="page">
            <wp:posOffset>144145</wp:posOffset>
          </wp:positionV>
          <wp:extent cx="3505200" cy="1457325"/>
          <wp:effectExtent l="0" t="0" r="0" b="0"/>
          <wp:wrapSquare wrapText="bothSides"/>
          <wp:docPr id="7"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AE29F6" w:rsidRDefault="00AE29F6" w:rsidP="00E844A0"/>
  <w:p w:rsidR="00AE29F6" w:rsidRDefault="00AE29F6" w:rsidP="00E844A0"/>
  <w:p w:rsidR="00AE29F6" w:rsidRDefault="00AE29F6" w:rsidP="00E844A0"/>
  <w:p w:rsidR="00AE29F6" w:rsidRDefault="00AE29F6" w:rsidP="00E844A0"/>
  <w:p w:rsidR="00AE29F6" w:rsidRDefault="00AE29F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52D19FF"/>
    <w:multiLevelType w:val="multilevel"/>
    <w:tmpl w:val="BE20683A"/>
    <w:numStyleLink w:val="AHPRANumberedheadinglist"/>
  </w:abstractNum>
  <w:abstractNum w:abstractNumId="5">
    <w:nsid w:val="1AFB5880"/>
    <w:multiLevelType w:val="hybridMultilevel"/>
    <w:tmpl w:val="043A9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BE5E72"/>
    <w:multiLevelType w:val="hybridMultilevel"/>
    <w:tmpl w:val="04A8E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822578D"/>
    <w:multiLevelType w:val="multilevel"/>
    <w:tmpl w:val="BE20683A"/>
    <w:numStyleLink w:val="AHPRANumberedheadinglist"/>
  </w:abstractNum>
  <w:abstractNum w:abstractNumId="8">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4433A"/>
    <w:multiLevelType w:val="multilevel"/>
    <w:tmpl w:val="C4183F12"/>
    <w:numStyleLink w:val="AHPRANumberedlist"/>
  </w:abstractNum>
  <w:abstractNum w:abstractNumId="11">
    <w:nsid w:val="547B4661"/>
    <w:multiLevelType w:val="hybridMultilevel"/>
    <w:tmpl w:val="5E6CC7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E154B0"/>
    <w:multiLevelType w:val="multilevel"/>
    <w:tmpl w:val="C4183F12"/>
    <w:numStyleLink w:val="AHPRANumberedlist"/>
  </w:abstractNum>
  <w:abstractNum w:abstractNumId="14">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31660"/>
    <w:multiLevelType w:val="multilevel"/>
    <w:tmpl w:val="C4183F12"/>
    <w:numStyleLink w:val="AHPRANumberedlist"/>
  </w:abstractNum>
  <w:num w:numId="1">
    <w:abstractNumId w:val="12"/>
  </w:num>
  <w:num w:numId="2">
    <w:abstractNumId w:val="9"/>
  </w:num>
  <w:num w:numId="3">
    <w:abstractNumId w:val="1"/>
  </w:num>
  <w:num w:numId="4">
    <w:abstractNumId w:val="3"/>
  </w:num>
  <w:num w:numId="5">
    <w:abstractNumId w:val="4"/>
  </w:num>
  <w:num w:numId="6">
    <w:abstractNumId w:val="7"/>
  </w:num>
  <w:num w:numId="7">
    <w:abstractNumId w:val="0"/>
  </w:num>
  <w:num w:numId="8">
    <w:abstractNumId w:val="8"/>
  </w:num>
  <w:num w:numId="9">
    <w:abstractNumId w:val="14"/>
  </w:num>
  <w:num w:numId="10">
    <w:abstractNumId w:val="10"/>
  </w:num>
  <w:num w:numId="11">
    <w:abstractNumId w:val="2"/>
  </w:num>
  <w:num w:numId="12">
    <w:abstractNumId w:val="13"/>
  </w:num>
  <w:num w:numId="13">
    <w:abstractNumId w:val="15"/>
  </w:num>
  <w:num w:numId="14">
    <w:abstractNumId w:val="5"/>
  </w:num>
  <w:num w:numId="15">
    <w:abstractNumId w:val="11"/>
  </w:num>
  <w:num w:numId="1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2"/>
  </w:compat>
  <w:rsids>
    <w:rsidRoot w:val="00167F26"/>
    <w:rsid w:val="00000033"/>
    <w:rsid w:val="00002746"/>
    <w:rsid w:val="00006922"/>
    <w:rsid w:val="000209C5"/>
    <w:rsid w:val="000254AB"/>
    <w:rsid w:val="000334D7"/>
    <w:rsid w:val="00071439"/>
    <w:rsid w:val="000921A7"/>
    <w:rsid w:val="00092369"/>
    <w:rsid w:val="000945FB"/>
    <w:rsid w:val="00095CE9"/>
    <w:rsid w:val="000A6BF7"/>
    <w:rsid w:val="000E7E28"/>
    <w:rsid w:val="000F5D90"/>
    <w:rsid w:val="0010139F"/>
    <w:rsid w:val="00102429"/>
    <w:rsid w:val="00107B23"/>
    <w:rsid w:val="00114646"/>
    <w:rsid w:val="00144DEF"/>
    <w:rsid w:val="001506FE"/>
    <w:rsid w:val="00167F26"/>
    <w:rsid w:val="00196F14"/>
    <w:rsid w:val="001C245F"/>
    <w:rsid w:val="001C425C"/>
    <w:rsid w:val="001E0ABE"/>
    <w:rsid w:val="001E1E31"/>
    <w:rsid w:val="001E2849"/>
    <w:rsid w:val="001E4A94"/>
    <w:rsid w:val="001E5621"/>
    <w:rsid w:val="002069AE"/>
    <w:rsid w:val="00220A3B"/>
    <w:rsid w:val="00224708"/>
    <w:rsid w:val="00233689"/>
    <w:rsid w:val="002532CF"/>
    <w:rsid w:val="0028013F"/>
    <w:rsid w:val="00295B44"/>
    <w:rsid w:val="002B2D48"/>
    <w:rsid w:val="002C08FB"/>
    <w:rsid w:val="002C34EA"/>
    <w:rsid w:val="002D24E5"/>
    <w:rsid w:val="00303BE1"/>
    <w:rsid w:val="003057F6"/>
    <w:rsid w:val="00305AFC"/>
    <w:rsid w:val="00307879"/>
    <w:rsid w:val="00314A4A"/>
    <w:rsid w:val="003354E4"/>
    <w:rsid w:val="00393516"/>
    <w:rsid w:val="00394BAC"/>
    <w:rsid w:val="003B2E34"/>
    <w:rsid w:val="003C6106"/>
    <w:rsid w:val="003C6F84"/>
    <w:rsid w:val="003D6DBD"/>
    <w:rsid w:val="003E00B5"/>
    <w:rsid w:val="003E3268"/>
    <w:rsid w:val="003F2F06"/>
    <w:rsid w:val="00405C0A"/>
    <w:rsid w:val="00414F2C"/>
    <w:rsid w:val="00450B34"/>
    <w:rsid w:val="004606A7"/>
    <w:rsid w:val="004611E0"/>
    <w:rsid w:val="004A5E5D"/>
    <w:rsid w:val="004B438E"/>
    <w:rsid w:val="004B747B"/>
    <w:rsid w:val="004D5A75"/>
    <w:rsid w:val="004D7537"/>
    <w:rsid w:val="004F5C05"/>
    <w:rsid w:val="00504000"/>
    <w:rsid w:val="00516EF2"/>
    <w:rsid w:val="0051746A"/>
    <w:rsid w:val="0052439D"/>
    <w:rsid w:val="0053749F"/>
    <w:rsid w:val="00546B56"/>
    <w:rsid w:val="00547791"/>
    <w:rsid w:val="00553A4C"/>
    <w:rsid w:val="00554335"/>
    <w:rsid w:val="005565CE"/>
    <w:rsid w:val="005708AE"/>
    <w:rsid w:val="005935E5"/>
    <w:rsid w:val="00593F83"/>
    <w:rsid w:val="00594E41"/>
    <w:rsid w:val="005A0FA9"/>
    <w:rsid w:val="005C5932"/>
    <w:rsid w:val="005C6817"/>
    <w:rsid w:val="005F4F3C"/>
    <w:rsid w:val="00616043"/>
    <w:rsid w:val="00640B2C"/>
    <w:rsid w:val="00667CAD"/>
    <w:rsid w:val="00670F48"/>
    <w:rsid w:val="00672A98"/>
    <w:rsid w:val="00681D5E"/>
    <w:rsid w:val="006B15E1"/>
    <w:rsid w:val="006C004E"/>
    <w:rsid w:val="006C0257"/>
    <w:rsid w:val="006C0E29"/>
    <w:rsid w:val="006D30FE"/>
    <w:rsid w:val="006D3757"/>
    <w:rsid w:val="006D45FD"/>
    <w:rsid w:val="006D6D35"/>
    <w:rsid w:val="006E0B29"/>
    <w:rsid w:val="006E16FD"/>
    <w:rsid w:val="006E40C6"/>
    <w:rsid w:val="006F169C"/>
    <w:rsid w:val="006F585B"/>
    <w:rsid w:val="006F7348"/>
    <w:rsid w:val="006F796D"/>
    <w:rsid w:val="0070155F"/>
    <w:rsid w:val="00735D63"/>
    <w:rsid w:val="007372A4"/>
    <w:rsid w:val="007405AD"/>
    <w:rsid w:val="00741B04"/>
    <w:rsid w:val="00746FF5"/>
    <w:rsid w:val="00753F4F"/>
    <w:rsid w:val="00754EDC"/>
    <w:rsid w:val="0076115C"/>
    <w:rsid w:val="0076378D"/>
    <w:rsid w:val="007664F3"/>
    <w:rsid w:val="00790317"/>
    <w:rsid w:val="0079197C"/>
    <w:rsid w:val="007A35B9"/>
    <w:rsid w:val="007B77D6"/>
    <w:rsid w:val="007C0B6E"/>
    <w:rsid w:val="007D4836"/>
    <w:rsid w:val="007E2C84"/>
    <w:rsid w:val="007E3545"/>
    <w:rsid w:val="007F0095"/>
    <w:rsid w:val="007F2CBF"/>
    <w:rsid w:val="00802B0C"/>
    <w:rsid w:val="008338F7"/>
    <w:rsid w:val="00836397"/>
    <w:rsid w:val="008368A1"/>
    <w:rsid w:val="00845054"/>
    <w:rsid w:val="00852D1C"/>
    <w:rsid w:val="00856147"/>
    <w:rsid w:val="00860F40"/>
    <w:rsid w:val="008615C9"/>
    <w:rsid w:val="00864020"/>
    <w:rsid w:val="00870C15"/>
    <w:rsid w:val="008979D5"/>
    <w:rsid w:val="008A4C3B"/>
    <w:rsid w:val="008B2AD7"/>
    <w:rsid w:val="008C591A"/>
    <w:rsid w:val="008D0735"/>
    <w:rsid w:val="008D6B7E"/>
    <w:rsid w:val="008D7845"/>
    <w:rsid w:val="009031EA"/>
    <w:rsid w:val="009105FC"/>
    <w:rsid w:val="00923B23"/>
    <w:rsid w:val="00937ED0"/>
    <w:rsid w:val="00952797"/>
    <w:rsid w:val="009777D3"/>
    <w:rsid w:val="009859E6"/>
    <w:rsid w:val="00991B11"/>
    <w:rsid w:val="009A0A5D"/>
    <w:rsid w:val="009A44A2"/>
    <w:rsid w:val="009B7F66"/>
    <w:rsid w:val="009C6933"/>
    <w:rsid w:val="009D030F"/>
    <w:rsid w:val="009E4A67"/>
    <w:rsid w:val="009F7919"/>
    <w:rsid w:val="00A04C7A"/>
    <w:rsid w:val="00A058E5"/>
    <w:rsid w:val="00A10C1A"/>
    <w:rsid w:val="00A17908"/>
    <w:rsid w:val="00A20550"/>
    <w:rsid w:val="00A2072E"/>
    <w:rsid w:val="00A237BB"/>
    <w:rsid w:val="00A458ED"/>
    <w:rsid w:val="00A509AB"/>
    <w:rsid w:val="00A76E00"/>
    <w:rsid w:val="00A82078"/>
    <w:rsid w:val="00A838C8"/>
    <w:rsid w:val="00A91C42"/>
    <w:rsid w:val="00A9516B"/>
    <w:rsid w:val="00A9780A"/>
    <w:rsid w:val="00AA00AF"/>
    <w:rsid w:val="00AA2FC9"/>
    <w:rsid w:val="00AA7B5A"/>
    <w:rsid w:val="00AB283D"/>
    <w:rsid w:val="00AD312E"/>
    <w:rsid w:val="00AE29F6"/>
    <w:rsid w:val="00AE3EAF"/>
    <w:rsid w:val="00B024B0"/>
    <w:rsid w:val="00B34EDA"/>
    <w:rsid w:val="00B51748"/>
    <w:rsid w:val="00B57198"/>
    <w:rsid w:val="00B64E4A"/>
    <w:rsid w:val="00B85023"/>
    <w:rsid w:val="00B92606"/>
    <w:rsid w:val="00BA2456"/>
    <w:rsid w:val="00BA469B"/>
    <w:rsid w:val="00BA78CC"/>
    <w:rsid w:val="00BB4A5B"/>
    <w:rsid w:val="00BB4CE5"/>
    <w:rsid w:val="00BC3466"/>
    <w:rsid w:val="00BD1E17"/>
    <w:rsid w:val="00BD3DD1"/>
    <w:rsid w:val="00BF2534"/>
    <w:rsid w:val="00BF79DC"/>
    <w:rsid w:val="00C066DA"/>
    <w:rsid w:val="00C30E0B"/>
    <w:rsid w:val="00C35DE1"/>
    <w:rsid w:val="00C3795C"/>
    <w:rsid w:val="00C524AA"/>
    <w:rsid w:val="00C54689"/>
    <w:rsid w:val="00C81B3A"/>
    <w:rsid w:val="00CB6C08"/>
    <w:rsid w:val="00CD0DCA"/>
    <w:rsid w:val="00CD655B"/>
    <w:rsid w:val="00CD74A9"/>
    <w:rsid w:val="00D12F61"/>
    <w:rsid w:val="00D201C6"/>
    <w:rsid w:val="00D50BC1"/>
    <w:rsid w:val="00D61BB1"/>
    <w:rsid w:val="00D638E0"/>
    <w:rsid w:val="00D716BA"/>
    <w:rsid w:val="00D8404D"/>
    <w:rsid w:val="00D87C12"/>
    <w:rsid w:val="00DC2952"/>
    <w:rsid w:val="00DD0A50"/>
    <w:rsid w:val="00DE1BD0"/>
    <w:rsid w:val="00DF1AB7"/>
    <w:rsid w:val="00E07C02"/>
    <w:rsid w:val="00E12B06"/>
    <w:rsid w:val="00E15BF6"/>
    <w:rsid w:val="00E2454A"/>
    <w:rsid w:val="00E40F0C"/>
    <w:rsid w:val="00E54005"/>
    <w:rsid w:val="00E558D7"/>
    <w:rsid w:val="00E71CB9"/>
    <w:rsid w:val="00E727DF"/>
    <w:rsid w:val="00E73698"/>
    <w:rsid w:val="00E77E23"/>
    <w:rsid w:val="00E8251C"/>
    <w:rsid w:val="00E844A0"/>
    <w:rsid w:val="00E91171"/>
    <w:rsid w:val="00F129B0"/>
    <w:rsid w:val="00F13ED2"/>
    <w:rsid w:val="00F277DA"/>
    <w:rsid w:val="00F27ACB"/>
    <w:rsid w:val="00F3616F"/>
    <w:rsid w:val="00F6175E"/>
    <w:rsid w:val="00F6618F"/>
    <w:rsid w:val="00F70DD5"/>
    <w:rsid w:val="00F73165"/>
    <w:rsid w:val="00F743E8"/>
    <w:rsid w:val="00F90BCE"/>
    <w:rsid w:val="00FB75DE"/>
    <w:rsid w:val="00FC2881"/>
    <w:rsid w:val="00FD7DC1"/>
    <w:rsid w:val="00FE5126"/>
    <w:rsid w:val="00FF7B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rules v:ext="edit">
        <o:r id="V:Rule2" type="connector" idref="#AutoShape 3"/>
      </o:rules>
    </o:shapelayout>
  </w:shapeDefaults>
  <w:decimalSymbol w:val="."/>
  <w:listSeparator w:val=","/>
  <w15:docId w15:val="{F4E33C08-FE7A-4DE8-806D-27D0F54B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iPriority w:val="1"/>
    <w:semiHidden/>
    <w:unhideWhenUsed/>
    <w:rsid w:val="00B92606"/>
    <w:rPr>
      <w:sz w:val="16"/>
      <w:szCs w:val="16"/>
    </w:rPr>
  </w:style>
  <w:style w:type="paragraph" w:styleId="CommentText">
    <w:name w:val="annotation text"/>
    <w:basedOn w:val="Normal"/>
    <w:link w:val="CommentTextChar"/>
    <w:uiPriority w:val="1"/>
    <w:semiHidden/>
    <w:unhideWhenUsed/>
    <w:rsid w:val="00B92606"/>
    <w:rPr>
      <w:sz w:val="20"/>
      <w:szCs w:val="20"/>
    </w:rPr>
  </w:style>
  <w:style w:type="character" w:customStyle="1" w:styleId="CommentTextChar">
    <w:name w:val="Comment Text Char"/>
    <w:basedOn w:val="DefaultParagraphFont"/>
    <w:link w:val="CommentText"/>
    <w:uiPriority w:val="1"/>
    <w:semiHidden/>
    <w:rsid w:val="00B92606"/>
    <w:rPr>
      <w:lang w:val="en-AU"/>
    </w:rPr>
  </w:style>
  <w:style w:type="paragraph" w:styleId="CommentSubject">
    <w:name w:val="annotation subject"/>
    <w:basedOn w:val="CommentText"/>
    <w:next w:val="CommentText"/>
    <w:link w:val="CommentSubjectChar"/>
    <w:uiPriority w:val="1"/>
    <w:semiHidden/>
    <w:unhideWhenUsed/>
    <w:rsid w:val="00B92606"/>
    <w:rPr>
      <w:b/>
      <w:bCs/>
    </w:rPr>
  </w:style>
  <w:style w:type="character" w:customStyle="1" w:styleId="CommentSubjectChar">
    <w:name w:val="Comment Subject Char"/>
    <w:basedOn w:val="CommentTextChar"/>
    <w:link w:val="CommentSubject"/>
    <w:uiPriority w:val="1"/>
    <w:semiHidden/>
    <w:rsid w:val="00B92606"/>
    <w:rPr>
      <w:b/>
      <w:bCs/>
      <w:lang w:val="en-AU"/>
    </w:rPr>
  </w:style>
  <w:style w:type="paragraph" w:styleId="ListParagraph">
    <w:name w:val="List Paragraph"/>
    <w:basedOn w:val="Normal"/>
    <w:uiPriority w:val="34"/>
    <w:qFormat/>
    <w:rsid w:val="00095CE9"/>
    <w:pPr>
      <w:spacing w:after="0"/>
      <w:ind w:left="720"/>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9960251">
      <w:bodyDiv w:val="1"/>
      <w:marLeft w:val="0"/>
      <w:marRight w:val="0"/>
      <w:marTop w:val="0"/>
      <w:marBottom w:val="0"/>
      <w:divBdr>
        <w:top w:val="none" w:sz="0" w:space="0" w:color="auto"/>
        <w:left w:val="none" w:sz="0" w:space="0" w:color="auto"/>
        <w:bottom w:val="none" w:sz="0" w:space="0" w:color="auto"/>
        <w:right w:val="none" w:sz="0" w:space="0" w:color="auto"/>
      </w:divBdr>
    </w:div>
    <w:div w:id="380908261">
      <w:bodyDiv w:val="1"/>
      <w:marLeft w:val="0"/>
      <w:marRight w:val="0"/>
      <w:marTop w:val="0"/>
      <w:marBottom w:val="0"/>
      <w:divBdr>
        <w:top w:val="none" w:sz="0" w:space="0" w:color="auto"/>
        <w:left w:val="none" w:sz="0" w:space="0" w:color="auto"/>
        <w:bottom w:val="none" w:sz="0" w:space="0" w:color="auto"/>
        <w:right w:val="none" w:sz="0" w:space="0" w:color="auto"/>
      </w:divBdr>
    </w:div>
    <w:div w:id="405689670">
      <w:bodyDiv w:val="1"/>
      <w:marLeft w:val="0"/>
      <w:marRight w:val="0"/>
      <w:marTop w:val="0"/>
      <w:marBottom w:val="0"/>
      <w:divBdr>
        <w:top w:val="none" w:sz="0" w:space="0" w:color="auto"/>
        <w:left w:val="none" w:sz="0" w:space="0" w:color="auto"/>
        <w:bottom w:val="none" w:sz="0" w:space="0" w:color="auto"/>
        <w:right w:val="none" w:sz="0" w:space="0" w:color="auto"/>
      </w:divBdr>
    </w:div>
    <w:div w:id="605575149">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78662675">
      <w:bodyDiv w:val="1"/>
      <w:marLeft w:val="0"/>
      <w:marRight w:val="0"/>
      <w:marTop w:val="0"/>
      <w:marBottom w:val="0"/>
      <w:divBdr>
        <w:top w:val="none" w:sz="0" w:space="0" w:color="auto"/>
        <w:left w:val="none" w:sz="0" w:space="0" w:color="auto"/>
        <w:bottom w:val="none" w:sz="0" w:space="0" w:color="auto"/>
        <w:right w:val="none" w:sz="0" w:space="0" w:color="auto"/>
      </w:divBdr>
    </w:div>
    <w:div w:id="997459498">
      <w:bodyDiv w:val="1"/>
      <w:marLeft w:val="0"/>
      <w:marRight w:val="0"/>
      <w:marTop w:val="0"/>
      <w:marBottom w:val="0"/>
      <w:divBdr>
        <w:top w:val="none" w:sz="0" w:space="0" w:color="auto"/>
        <w:left w:val="none" w:sz="0" w:space="0" w:color="auto"/>
        <w:bottom w:val="none" w:sz="0" w:space="0" w:color="auto"/>
        <w:right w:val="none" w:sz="0" w:space="0" w:color="auto"/>
      </w:divBdr>
    </w:div>
    <w:div w:id="1167474257">
      <w:bodyDiv w:val="1"/>
      <w:marLeft w:val="0"/>
      <w:marRight w:val="0"/>
      <w:marTop w:val="0"/>
      <w:marBottom w:val="0"/>
      <w:divBdr>
        <w:top w:val="none" w:sz="0" w:space="0" w:color="auto"/>
        <w:left w:val="none" w:sz="0" w:space="0" w:color="auto"/>
        <w:bottom w:val="none" w:sz="0" w:space="0" w:color="auto"/>
        <w:right w:val="none" w:sz="0" w:space="0" w:color="auto"/>
      </w:divBdr>
    </w:div>
    <w:div w:id="1359240059">
      <w:bodyDiv w:val="1"/>
      <w:marLeft w:val="0"/>
      <w:marRight w:val="0"/>
      <w:marTop w:val="0"/>
      <w:marBottom w:val="0"/>
      <w:divBdr>
        <w:top w:val="none" w:sz="0" w:space="0" w:color="auto"/>
        <w:left w:val="none" w:sz="0" w:space="0" w:color="auto"/>
        <w:bottom w:val="none" w:sz="0" w:space="0" w:color="auto"/>
        <w:right w:val="none" w:sz="0" w:space="0" w:color="auto"/>
      </w:divBdr>
    </w:div>
    <w:div w:id="1632830767">
      <w:bodyDiv w:val="1"/>
      <w:marLeft w:val="0"/>
      <w:marRight w:val="0"/>
      <w:marTop w:val="0"/>
      <w:marBottom w:val="0"/>
      <w:divBdr>
        <w:top w:val="none" w:sz="0" w:space="0" w:color="auto"/>
        <w:left w:val="none" w:sz="0" w:space="0" w:color="auto"/>
        <w:bottom w:val="none" w:sz="0" w:space="0" w:color="auto"/>
        <w:right w:val="none" w:sz="0" w:space="0" w:color="auto"/>
      </w:divBdr>
    </w:div>
    <w:div w:id="1966766819">
      <w:bodyDiv w:val="1"/>
      <w:marLeft w:val="0"/>
      <w:marRight w:val="0"/>
      <w:marTop w:val="0"/>
      <w:marBottom w:val="0"/>
      <w:divBdr>
        <w:top w:val="none" w:sz="0" w:space="0" w:color="auto"/>
        <w:left w:val="none" w:sz="0" w:space="0" w:color="auto"/>
        <w:bottom w:val="none" w:sz="0" w:space="0" w:color="auto"/>
        <w:right w:val="none" w:sz="0" w:space="0" w:color="auto"/>
      </w:divBdr>
    </w:div>
    <w:div w:id="2005667254">
      <w:bodyDiv w:val="1"/>
      <w:marLeft w:val="0"/>
      <w:marRight w:val="0"/>
      <w:marTop w:val="0"/>
      <w:marBottom w:val="0"/>
      <w:divBdr>
        <w:top w:val="none" w:sz="0" w:space="0" w:color="auto"/>
        <w:left w:val="none" w:sz="0" w:space="0" w:color="auto"/>
        <w:bottom w:val="none" w:sz="0" w:space="0" w:color="auto"/>
        <w:right w:val="none" w:sz="0" w:space="0" w:color="auto"/>
      </w:divBdr>
    </w:div>
    <w:div w:id="2022122623">
      <w:bodyDiv w:val="1"/>
      <w:marLeft w:val="0"/>
      <w:marRight w:val="0"/>
      <w:marTop w:val="0"/>
      <w:marBottom w:val="0"/>
      <w:divBdr>
        <w:top w:val="none" w:sz="0" w:space="0" w:color="auto"/>
        <w:left w:val="none" w:sz="0" w:space="0" w:color="auto"/>
        <w:bottom w:val="none" w:sz="0" w:space="0" w:color="auto"/>
        <w:right w:val="none" w:sz="0" w:space="0" w:color="auto"/>
      </w:divBdr>
    </w:div>
    <w:div w:id="2062092848">
      <w:bodyDiv w:val="1"/>
      <w:marLeft w:val="0"/>
      <w:marRight w:val="0"/>
      <w:marTop w:val="0"/>
      <w:marBottom w:val="0"/>
      <w:divBdr>
        <w:top w:val="none" w:sz="0" w:space="0" w:color="auto"/>
        <w:left w:val="none" w:sz="0" w:space="0" w:color="auto"/>
        <w:bottom w:val="none" w:sz="0" w:space="0" w:color="auto"/>
        <w:right w:val="none" w:sz="0" w:space="0" w:color="auto"/>
      </w:divBdr>
    </w:div>
    <w:div w:id="20984007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Registration/Registers-of-Practitioners/Tips-for-using-the-public-register.aspx" TargetMode="Externa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lackmore\AppData\Local\Microsoft\Windows\Temporary%20Internet%20Files\Content.IE5\O7SBUO5J\Short-document-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meerkat\AHPRA_Global\RegOps\Notifications\OHO%20REPORT\RONAHPRA-Report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eerkat\AHPRA_Global\RegOps\Notifications\OHO%20REPORT\RONAHPRA-Report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meerkat\AHPRA_Global\RegOps\Notifications\OHO%20REPORT\RONAHPRA-Report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Jess\RONAHPRA-Report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Jess\RONAHPRA-Report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Jess\RONAHPRA-Report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Jess\RONAHPRA-Repor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'Stuff to Transfer to Word'!$X$8</c:f>
              <c:strCache>
                <c:ptCount val="1"/>
                <c:pt idx="0">
                  <c:v>New Matters</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'Stuff to Transfer to Word'!$Y$7:$AJ$7</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'Stuff to Transfer to Word'!$Y$8:$AJ$8</c:f>
              <c:numCache>
                <c:formatCode>General</c:formatCode>
                <c:ptCount val="12"/>
                <c:pt idx="0">
                  <c:v>20</c:v>
                </c:pt>
                <c:pt idx="1">
                  <c:v>46</c:v>
                </c:pt>
                <c:pt idx="2">
                  <c:v>110</c:v>
                </c:pt>
                <c:pt idx="3">
                  <c:v>68</c:v>
                </c:pt>
                <c:pt idx="4">
                  <c:v>31</c:v>
                </c:pt>
                <c:pt idx="5">
                  <c:v>46</c:v>
                </c:pt>
                <c:pt idx="6">
                  <c:v>78</c:v>
                </c:pt>
                <c:pt idx="7">
                  <c:v>88</c:v>
                </c:pt>
                <c:pt idx="8">
                  <c:v>111</c:v>
                </c:pt>
              </c:numCache>
            </c:numRef>
          </c:val>
        </c:ser>
        <c:dLbls>
          <c:showLegendKey val="0"/>
          <c:showVal val="0"/>
          <c:showCatName val="0"/>
          <c:showSerName val="0"/>
          <c:showPercent val="0"/>
          <c:showBubbleSize val="0"/>
        </c:dLbls>
        <c:gapWidth val="219"/>
        <c:overlap val="-27"/>
        <c:axId val="224765248"/>
        <c:axId val="224765808"/>
      </c:barChart>
      <c:dateAx>
        <c:axId val="224765248"/>
        <c:scaling>
          <c:orientation val="minMax"/>
        </c:scaling>
        <c:delete val="0"/>
        <c:axPos val="b"/>
        <c:numFmt formatCode="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65808"/>
        <c:crosses val="autoZero"/>
        <c:auto val="1"/>
        <c:lblOffset val="100"/>
        <c:baseTimeUnit val="months"/>
      </c:dateAx>
      <c:valAx>
        <c:axId val="22476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6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4.6693196723724996E-2"/>
          <c:y val="4.5662100456621023E-2"/>
          <c:w val="0.93778433096977698"/>
          <c:h val="0.82950026638949104"/>
        </c:manualLayout>
      </c:layout>
      <c:barChart>
        <c:barDir val="col"/>
        <c:grouping val="stacked"/>
        <c:varyColors val="0"/>
        <c:ser>
          <c:idx val="0"/>
          <c:order val="0"/>
          <c:tx>
            <c:strRef>
              <c:f>'Stuff to Transfer to Word'!$B$8</c:f>
              <c:strCache>
                <c:ptCount val="1"/>
                <c:pt idx="0">
                  <c:v>Assessment</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'Stuff to Transfer to Word'!$C$7:$K$7</c:f>
              <c:strCache>
                <c:ptCount val="9"/>
                <c:pt idx="0">
                  <c:v>Jul</c:v>
                </c:pt>
                <c:pt idx="1">
                  <c:v>Aug</c:v>
                </c:pt>
                <c:pt idx="2">
                  <c:v>Sep</c:v>
                </c:pt>
                <c:pt idx="3">
                  <c:v>Oct</c:v>
                </c:pt>
                <c:pt idx="4">
                  <c:v>Nov</c:v>
                </c:pt>
                <c:pt idx="5">
                  <c:v>Dec</c:v>
                </c:pt>
                <c:pt idx="6">
                  <c:v>Jan</c:v>
                </c:pt>
                <c:pt idx="7">
                  <c:v>Feb</c:v>
                </c:pt>
                <c:pt idx="8">
                  <c:v>Mar</c:v>
                </c:pt>
              </c:strCache>
            </c:strRef>
          </c:cat>
          <c:val>
            <c:numRef>
              <c:f>'Stuff to Transfer to Word'!$C$8:$K$8</c:f>
              <c:numCache>
                <c:formatCode>General</c:formatCode>
                <c:ptCount val="9"/>
                <c:pt idx="0">
                  <c:v>277</c:v>
                </c:pt>
                <c:pt idx="1">
                  <c:v>222</c:v>
                </c:pt>
                <c:pt idx="2">
                  <c:v>237</c:v>
                </c:pt>
                <c:pt idx="3">
                  <c:v>187</c:v>
                </c:pt>
                <c:pt idx="4">
                  <c:v>136</c:v>
                </c:pt>
                <c:pt idx="5">
                  <c:v>124</c:v>
                </c:pt>
                <c:pt idx="6">
                  <c:v>154</c:v>
                </c:pt>
                <c:pt idx="7">
                  <c:v>190</c:v>
                </c:pt>
                <c:pt idx="8">
                  <c:v>240</c:v>
                </c:pt>
              </c:numCache>
            </c:numRef>
          </c:val>
        </c:ser>
        <c:ser>
          <c:idx val="1"/>
          <c:order val="1"/>
          <c:tx>
            <c:strRef>
              <c:f>'Stuff to Transfer to Word'!$B$9</c:f>
              <c:strCache>
                <c:ptCount val="1"/>
                <c:pt idx="0">
                  <c:v>Health or Performance Assessment</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'Stuff to Transfer to Word'!$C$7:$K$7</c:f>
              <c:strCache>
                <c:ptCount val="9"/>
                <c:pt idx="0">
                  <c:v>Jul</c:v>
                </c:pt>
                <c:pt idx="1">
                  <c:v>Aug</c:v>
                </c:pt>
                <c:pt idx="2">
                  <c:v>Sep</c:v>
                </c:pt>
                <c:pt idx="3">
                  <c:v>Oct</c:v>
                </c:pt>
                <c:pt idx="4">
                  <c:v>Nov</c:v>
                </c:pt>
                <c:pt idx="5">
                  <c:v>Dec</c:v>
                </c:pt>
                <c:pt idx="6">
                  <c:v>Jan</c:v>
                </c:pt>
                <c:pt idx="7">
                  <c:v>Feb</c:v>
                </c:pt>
                <c:pt idx="8">
                  <c:v>Mar</c:v>
                </c:pt>
              </c:strCache>
            </c:strRef>
          </c:cat>
          <c:val>
            <c:numRef>
              <c:f>'Stuff to Transfer to Word'!$C$9:$K$9</c:f>
              <c:numCache>
                <c:formatCode>General</c:formatCode>
                <c:ptCount val="9"/>
                <c:pt idx="0">
                  <c:v>135</c:v>
                </c:pt>
                <c:pt idx="1">
                  <c:v>127</c:v>
                </c:pt>
                <c:pt idx="2">
                  <c:v>128</c:v>
                </c:pt>
                <c:pt idx="3">
                  <c:v>123</c:v>
                </c:pt>
                <c:pt idx="4">
                  <c:v>115</c:v>
                </c:pt>
                <c:pt idx="5">
                  <c:v>105</c:v>
                </c:pt>
                <c:pt idx="6">
                  <c:v>98</c:v>
                </c:pt>
                <c:pt idx="7">
                  <c:v>75</c:v>
                </c:pt>
                <c:pt idx="8">
                  <c:v>71</c:v>
                </c:pt>
              </c:numCache>
            </c:numRef>
          </c:val>
        </c:ser>
        <c:ser>
          <c:idx val="2"/>
          <c:order val="2"/>
          <c:tx>
            <c:strRef>
              <c:f>'Stuff to Transfer to Word'!$B$10</c:f>
              <c:strCache>
                <c:ptCount val="1"/>
                <c:pt idx="0">
                  <c:v>Investigation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'Stuff to Transfer to Word'!$C$7:$K$7</c:f>
              <c:strCache>
                <c:ptCount val="9"/>
                <c:pt idx="0">
                  <c:v>Jul</c:v>
                </c:pt>
                <c:pt idx="1">
                  <c:v>Aug</c:v>
                </c:pt>
                <c:pt idx="2">
                  <c:v>Sep</c:v>
                </c:pt>
                <c:pt idx="3">
                  <c:v>Oct</c:v>
                </c:pt>
                <c:pt idx="4">
                  <c:v>Nov</c:v>
                </c:pt>
                <c:pt idx="5">
                  <c:v>Dec</c:v>
                </c:pt>
                <c:pt idx="6">
                  <c:v>Jan</c:v>
                </c:pt>
                <c:pt idx="7">
                  <c:v>Feb</c:v>
                </c:pt>
                <c:pt idx="8">
                  <c:v>Mar</c:v>
                </c:pt>
              </c:strCache>
            </c:strRef>
          </c:cat>
          <c:val>
            <c:numRef>
              <c:f>'Stuff to Transfer to Word'!$C$10:$K$10</c:f>
              <c:numCache>
                <c:formatCode>General</c:formatCode>
                <c:ptCount val="9"/>
                <c:pt idx="0">
                  <c:v>452</c:v>
                </c:pt>
                <c:pt idx="1">
                  <c:v>444</c:v>
                </c:pt>
                <c:pt idx="2">
                  <c:v>437</c:v>
                </c:pt>
                <c:pt idx="3">
                  <c:v>408</c:v>
                </c:pt>
                <c:pt idx="4">
                  <c:v>389</c:v>
                </c:pt>
                <c:pt idx="5">
                  <c:v>361</c:v>
                </c:pt>
                <c:pt idx="6">
                  <c:v>358</c:v>
                </c:pt>
                <c:pt idx="7">
                  <c:v>350</c:v>
                </c:pt>
                <c:pt idx="8">
                  <c:v>345</c:v>
                </c:pt>
              </c:numCache>
            </c:numRef>
          </c:val>
        </c:ser>
        <c:ser>
          <c:idx val="3"/>
          <c:order val="3"/>
          <c:tx>
            <c:strRef>
              <c:f>'Stuff to Transfer to Word'!$B$11</c:f>
              <c:strCache>
                <c:ptCount val="1"/>
                <c:pt idx="0">
                  <c:v>Panel Hearing</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'Stuff to Transfer to Word'!$C$7:$K$7</c:f>
              <c:strCache>
                <c:ptCount val="9"/>
                <c:pt idx="0">
                  <c:v>Jul</c:v>
                </c:pt>
                <c:pt idx="1">
                  <c:v>Aug</c:v>
                </c:pt>
                <c:pt idx="2">
                  <c:v>Sep</c:v>
                </c:pt>
                <c:pt idx="3">
                  <c:v>Oct</c:v>
                </c:pt>
                <c:pt idx="4">
                  <c:v>Nov</c:v>
                </c:pt>
                <c:pt idx="5">
                  <c:v>Dec</c:v>
                </c:pt>
                <c:pt idx="6">
                  <c:v>Jan</c:v>
                </c:pt>
                <c:pt idx="7">
                  <c:v>Feb</c:v>
                </c:pt>
                <c:pt idx="8">
                  <c:v>Mar</c:v>
                </c:pt>
              </c:strCache>
            </c:strRef>
          </c:cat>
          <c:val>
            <c:numRef>
              <c:f>'Stuff to Transfer to Word'!$C$11:$K$11</c:f>
              <c:numCache>
                <c:formatCode>General</c:formatCode>
                <c:ptCount val="9"/>
                <c:pt idx="0">
                  <c:v>61</c:v>
                </c:pt>
                <c:pt idx="1">
                  <c:v>48</c:v>
                </c:pt>
                <c:pt idx="2">
                  <c:v>45</c:v>
                </c:pt>
                <c:pt idx="3">
                  <c:v>43</c:v>
                </c:pt>
                <c:pt idx="4">
                  <c:v>45</c:v>
                </c:pt>
                <c:pt idx="5">
                  <c:v>39</c:v>
                </c:pt>
                <c:pt idx="6">
                  <c:v>35</c:v>
                </c:pt>
                <c:pt idx="7">
                  <c:v>27</c:v>
                </c:pt>
                <c:pt idx="8">
                  <c:v>24</c:v>
                </c:pt>
              </c:numCache>
            </c:numRef>
          </c:val>
        </c:ser>
        <c:ser>
          <c:idx val="4"/>
          <c:order val="4"/>
          <c:tx>
            <c:strRef>
              <c:f>'Stuff to Transfer to Word'!$B$12</c:f>
              <c:strCache>
                <c:ptCount val="1"/>
                <c:pt idx="0">
                  <c:v>Tribunal Hearing</c:v>
                </c:pt>
              </c:strCache>
            </c:strRef>
          </c:tx>
          <c:spPr>
            <a:solidFill>
              <a:schemeClr val="accent1">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'Stuff to Transfer to Word'!$C$7:$K$7</c:f>
              <c:strCache>
                <c:ptCount val="9"/>
                <c:pt idx="0">
                  <c:v>Jul</c:v>
                </c:pt>
                <c:pt idx="1">
                  <c:v>Aug</c:v>
                </c:pt>
                <c:pt idx="2">
                  <c:v>Sep</c:v>
                </c:pt>
                <c:pt idx="3">
                  <c:v>Oct</c:v>
                </c:pt>
                <c:pt idx="4">
                  <c:v>Nov</c:v>
                </c:pt>
                <c:pt idx="5">
                  <c:v>Dec</c:v>
                </c:pt>
                <c:pt idx="6">
                  <c:v>Jan</c:v>
                </c:pt>
                <c:pt idx="7">
                  <c:v>Feb</c:v>
                </c:pt>
                <c:pt idx="8">
                  <c:v>Mar</c:v>
                </c:pt>
              </c:strCache>
            </c:strRef>
          </c:cat>
          <c:val>
            <c:numRef>
              <c:f>'Stuff to Transfer to Word'!$C$12:$K$12</c:f>
              <c:numCache>
                <c:formatCode>General</c:formatCode>
                <c:ptCount val="9"/>
                <c:pt idx="0">
                  <c:v>142</c:v>
                </c:pt>
                <c:pt idx="1">
                  <c:v>139</c:v>
                </c:pt>
                <c:pt idx="2">
                  <c:v>137</c:v>
                </c:pt>
                <c:pt idx="3">
                  <c:v>135</c:v>
                </c:pt>
                <c:pt idx="4">
                  <c:v>135</c:v>
                </c:pt>
                <c:pt idx="5">
                  <c:v>139</c:v>
                </c:pt>
                <c:pt idx="6">
                  <c:v>129</c:v>
                </c:pt>
                <c:pt idx="7">
                  <c:v>132</c:v>
                </c:pt>
                <c:pt idx="8">
                  <c:v>131</c:v>
                </c:pt>
              </c:numCache>
            </c:numRef>
          </c:val>
        </c:ser>
        <c:dLbls>
          <c:showLegendKey val="0"/>
          <c:showVal val="0"/>
          <c:showCatName val="0"/>
          <c:showSerName val="0"/>
          <c:showPercent val="0"/>
          <c:showBubbleSize val="0"/>
        </c:dLbls>
        <c:gapWidth val="219"/>
        <c:overlap val="100"/>
        <c:axId val="224770288"/>
        <c:axId val="224770848"/>
      </c:barChart>
      <c:catAx>
        <c:axId val="22477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70848"/>
        <c:crosses val="autoZero"/>
        <c:auto val="1"/>
        <c:lblAlgn val="ctr"/>
        <c:lblOffset val="100"/>
        <c:noMultiLvlLbl val="0"/>
      </c:catAx>
      <c:valAx>
        <c:axId val="22477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70288"/>
        <c:crosses val="autoZero"/>
        <c:crossBetween val="between"/>
      </c:valAx>
      <c:spPr>
        <a:noFill/>
        <a:ln>
          <a:noFill/>
        </a:ln>
        <a:effectLst/>
      </c:spPr>
    </c:plotArea>
    <c:legend>
      <c:legendPos val="b"/>
      <c:layout>
        <c:manualLayout>
          <c:xMode val="edge"/>
          <c:yMode val="edge"/>
          <c:x val="0.17805075748442623"/>
          <c:y val="0.92994969651209591"/>
          <c:w val="0.64389848503114799"/>
          <c:h val="7.00503034879046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'Stuff to Transfer to Word'!$B$44</c:f>
              <c:strCache>
                <c:ptCount val="1"/>
                <c:pt idx="0">
                  <c:v>up to 30 days</c:v>
                </c:pt>
              </c:strCache>
            </c:strRef>
          </c:tx>
          <c:spPr>
            <a:solidFill>
              <a:schemeClr val="accent1">
                <a:lumMod val="50000"/>
              </a:scheme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'Stuff to Transfer to Word'!$C$43:$N$43</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'Stuff to Transfer to Word'!$C$44:$N$44</c:f>
              <c:numCache>
                <c:formatCode>General</c:formatCode>
                <c:ptCount val="12"/>
                <c:pt idx="0">
                  <c:v>13</c:v>
                </c:pt>
                <c:pt idx="1">
                  <c:v>71</c:v>
                </c:pt>
                <c:pt idx="2">
                  <c:v>77</c:v>
                </c:pt>
                <c:pt idx="3">
                  <c:v>47</c:v>
                </c:pt>
                <c:pt idx="4">
                  <c:v>22</c:v>
                </c:pt>
                <c:pt idx="5">
                  <c:v>34</c:v>
                </c:pt>
                <c:pt idx="6">
                  <c:v>69</c:v>
                </c:pt>
                <c:pt idx="7">
                  <c:v>82</c:v>
                </c:pt>
                <c:pt idx="8">
                  <c:v>109</c:v>
                </c:pt>
              </c:numCache>
            </c:numRef>
          </c:val>
        </c:ser>
        <c:ser>
          <c:idx val="1"/>
          <c:order val="1"/>
          <c:tx>
            <c:strRef>
              <c:f>'Stuff to Transfer to Word'!$B$45</c:f>
              <c:strCache>
                <c:ptCount val="1"/>
                <c:pt idx="0">
                  <c:v>30 to 60 days</c:v>
                </c:pt>
              </c:strCache>
            </c:strRef>
          </c:tx>
          <c:spPr>
            <a:solidFill>
              <a:schemeClr val="accent1">
                <a:lumMod val="75000"/>
              </a:scheme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'Stuff to Transfer to Word'!$C$43:$N$43</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'Stuff to Transfer to Word'!$C$45:$N$45</c:f>
              <c:numCache>
                <c:formatCode>General</c:formatCode>
                <c:ptCount val="12"/>
                <c:pt idx="0">
                  <c:v>47</c:v>
                </c:pt>
                <c:pt idx="1">
                  <c:v>0</c:v>
                </c:pt>
                <c:pt idx="2">
                  <c:v>36</c:v>
                </c:pt>
                <c:pt idx="3">
                  <c:v>24</c:v>
                </c:pt>
                <c:pt idx="4">
                  <c:v>11</c:v>
                </c:pt>
                <c:pt idx="5">
                  <c:v>5</c:v>
                </c:pt>
                <c:pt idx="6">
                  <c:v>13</c:v>
                </c:pt>
                <c:pt idx="7">
                  <c:v>43</c:v>
                </c:pt>
                <c:pt idx="8">
                  <c:v>64</c:v>
                </c:pt>
              </c:numCache>
            </c:numRef>
          </c:val>
        </c:ser>
        <c:ser>
          <c:idx val="2"/>
          <c:order val="2"/>
          <c:tx>
            <c:strRef>
              <c:f>'Stuff to Transfer to Word'!$B$46</c:f>
              <c:strCache>
                <c:ptCount val="1"/>
                <c:pt idx="0">
                  <c:v>over 60 days</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'Stuff to Transfer to Word'!$C$43:$N$43</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'Stuff to Transfer to Word'!$C$46:$N$46</c:f>
              <c:numCache>
                <c:formatCode>General</c:formatCode>
                <c:ptCount val="12"/>
                <c:pt idx="0">
                  <c:v>8</c:v>
                </c:pt>
                <c:pt idx="1">
                  <c:v>12</c:v>
                </c:pt>
                <c:pt idx="2">
                  <c:v>1</c:v>
                </c:pt>
                <c:pt idx="3">
                  <c:v>10</c:v>
                </c:pt>
                <c:pt idx="4">
                  <c:v>2</c:v>
                </c:pt>
                <c:pt idx="5">
                  <c:v>3</c:v>
                </c:pt>
                <c:pt idx="6">
                  <c:v>1</c:v>
                </c:pt>
                <c:pt idx="7">
                  <c:v>3</c:v>
                </c:pt>
                <c:pt idx="8">
                  <c:v>10</c:v>
                </c:pt>
              </c:numCache>
            </c:numRef>
          </c:val>
        </c:ser>
        <c:dLbls>
          <c:showLegendKey val="0"/>
          <c:showVal val="1"/>
          <c:showCatName val="0"/>
          <c:showSerName val="0"/>
          <c:showPercent val="0"/>
          <c:showBubbleSize val="0"/>
        </c:dLbls>
        <c:gapWidth val="75"/>
        <c:overlap val="100"/>
        <c:axId val="224774768"/>
        <c:axId val="224775328"/>
      </c:barChart>
      <c:dateAx>
        <c:axId val="224774768"/>
        <c:scaling>
          <c:orientation val="minMax"/>
        </c:scaling>
        <c:delete val="0"/>
        <c:axPos val="b"/>
        <c:numFmt formatCode="mmm" sourceLinked="1"/>
        <c:majorTickMark val="none"/>
        <c:minorTickMark val="none"/>
        <c:tickLblPos val="nextTo"/>
        <c:crossAx val="224775328"/>
        <c:crosses val="autoZero"/>
        <c:auto val="1"/>
        <c:lblOffset val="100"/>
        <c:baseTimeUnit val="months"/>
      </c:dateAx>
      <c:valAx>
        <c:axId val="224775328"/>
        <c:scaling>
          <c:orientation val="minMax"/>
        </c:scaling>
        <c:delete val="0"/>
        <c:axPos val="l"/>
        <c:numFmt formatCode="General" sourceLinked="1"/>
        <c:majorTickMark val="none"/>
        <c:minorTickMark val="none"/>
        <c:tickLblPos val="nextTo"/>
        <c:crossAx val="22477476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Sheet2!$A$76</c:f>
              <c:strCache>
                <c:ptCount val="1"/>
                <c:pt idx="0">
                  <c:v>0 - 6 months</c:v>
                </c:pt>
              </c:strCache>
            </c:strRef>
          </c:tx>
          <c:spPr>
            <a:solidFill>
              <a:schemeClr val="accent1">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Sheet2!$B$75:$M$75</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Sheet2!$B$76:$M$76</c:f>
              <c:numCache>
                <c:formatCode>General</c:formatCode>
                <c:ptCount val="12"/>
                <c:pt idx="0">
                  <c:v>135</c:v>
                </c:pt>
                <c:pt idx="1">
                  <c:v>139</c:v>
                </c:pt>
                <c:pt idx="2">
                  <c:v>121</c:v>
                </c:pt>
                <c:pt idx="3">
                  <c:v>115</c:v>
                </c:pt>
                <c:pt idx="4">
                  <c:v>113</c:v>
                </c:pt>
                <c:pt idx="5">
                  <c:v>106</c:v>
                </c:pt>
                <c:pt idx="6">
                  <c:v>106</c:v>
                </c:pt>
                <c:pt idx="7">
                  <c:v>87</c:v>
                </c:pt>
                <c:pt idx="8">
                  <c:v>94</c:v>
                </c:pt>
              </c:numCache>
            </c:numRef>
          </c:val>
        </c:ser>
        <c:ser>
          <c:idx val="1"/>
          <c:order val="1"/>
          <c:tx>
            <c:strRef>
              <c:f>Sheet2!$A$77</c:f>
              <c:strCache>
                <c:ptCount val="1"/>
                <c:pt idx="0">
                  <c:v>6 - 12 months</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Sheet2!$B$75:$M$75</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Sheet2!$B$77:$M$77</c:f>
              <c:numCache>
                <c:formatCode>General</c:formatCode>
                <c:ptCount val="12"/>
                <c:pt idx="0">
                  <c:v>179</c:v>
                </c:pt>
                <c:pt idx="1">
                  <c:v>161</c:v>
                </c:pt>
                <c:pt idx="2">
                  <c:v>165</c:v>
                </c:pt>
                <c:pt idx="3">
                  <c:v>134</c:v>
                </c:pt>
                <c:pt idx="4">
                  <c:v>109</c:v>
                </c:pt>
                <c:pt idx="5">
                  <c:v>105</c:v>
                </c:pt>
                <c:pt idx="6">
                  <c:v>99</c:v>
                </c:pt>
                <c:pt idx="7">
                  <c:v>103</c:v>
                </c:pt>
                <c:pt idx="8">
                  <c:v>93</c:v>
                </c:pt>
              </c:numCache>
            </c:numRef>
          </c:val>
        </c:ser>
        <c:ser>
          <c:idx val="2"/>
          <c:order val="2"/>
          <c:tx>
            <c:strRef>
              <c:f>Sheet2!$A$78</c:f>
              <c:strCache>
                <c:ptCount val="1"/>
                <c:pt idx="0">
                  <c:v>12 - 18 months</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Sheet2!$B$75:$M$75</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Sheet2!$B$78:$M$78</c:f>
              <c:numCache>
                <c:formatCode>General</c:formatCode>
                <c:ptCount val="12"/>
                <c:pt idx="0">
                  <c:v>93</c:v>
                </c:pt>
                <c:pt idx="1">
                  <c:v>96</c:v>
                </c:pt>
                <c:pt idx="2">
                  <c:v>96</c:v>
                </c:pt>
                <c:pt idx="3">
                  <c:v>90</c:v>
                </c:pt>
                <c:pt idx="4">
                  <c:v>94</c:v>
                </c:pt>
                <c:pt idx="5">
                  <c:v>89</c:v>
                </c:pt>
                <c:pt idx="6">
                  <c:v>88</c:v>
                </c:pt>
                <c:pt idx="7">
                  <c:v>84</c:v>
                </c:pt>
                <c:pt idx="8">
                  <c:v>91</c:v>
                </c:pt>
              </c:numCache>
            </c:numRef>
          </c:val>
        </c:ser>
        <c:ser>
          <c:idx val="3"/>
          <c:order val="3"/>
          <c:tx>
            <c:strRef>
              <c:f>Sheet2!$A$79</c:f>
              <c:strCache>
                <c:ptCount val="1"/>
                <c:pt idx="0">
                  <c:v>18+ months</c:v>
                </c:pt>
              </c:strCache>
            </c:strRef>
          </c:tx>
          <c:spPr>
            <a:solidFill>
              <a:schemeClr val="accent1">
                <a:lumMod val="20000"/>
                <a:lumOff val="80000"/>
              </a:schemeClr>
            </a:solidFill>
          </c:spPr>
          <c:invertIfNegative val="0"/>
          <c:dLbls>
            <c:spPr>
              <a:solidFill>
                <a:schemeClr val="accent1">
                  <a:lumMod val="20000"/>
                  <a:lumOff val="80000"/>
                </a:schemeClr>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Sheet2!$B$75:$M$75</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Sheet2!$B$79:$M$79</c:f>
              <c:numCache>
                <c:formatCode>General</c:formatCode>
                <c:ptCount val="12"/>
                <c:pt idx="0">
                  <c:v>45</c:v>
                </c:pt>
                <c:pt idx="1">
                  <c:v>48</c:v>
                </c:pt>
                <c:pt idx="2">
                  <c:v>55</c:v>
                </c:pt>
                <c:pt idx="3">
                  <c:v>69</c:v>
                </c:pt>
                <c:pt idx="4">
                  <c:v>73</c:v>
                </c:pt>
                <c:pt idx="5">
                  <c:v>61</c:v>
                </c:pt>
                <c:pt idx="6">
                  <c:v>65</c:v>
                </c:pt>
                <c:pt idx="7">
                  <c:v>76</c:v>
                </c:pt>
                <c:pt idx="8">
                  <c:v>67</c:v>
                </c:pt>
              </c:numCache>
            </c:numRef>
          </c:val>
        </c:ser>
        <c:dLbls>
          <c:showLegendKey val="0"/>
          <c:showVal val="1"/>
          <c:showCatName val="0"/>
          <c:showSerName val="0"/>
          <c:showPercent val="0"/>
          <c:showBubbleSize val="0"/>
        </c:dLbls>
        <c:gapWidth val="75"/>
        <c:overlap val="100"/>
        <c:axId val="224778688"/>
        <c:axId val="225007536"/>
      </c:barChart>
      <c:dateAx>
        <c:axId val="224778688"/>
        <c:scaling>
          <c:orientation val="minMax"/>
        </c:scaling>
        <c:delete val="0"/>
        <c:axPos val="b"/>
        <c:numFmt formatCode="mmm" sourceLinked="1"/>
        <c:majorTickMark val="none"/>
        <c:minorTickMark val="none"/>
        <c:tickLblPos val="nextTo"/>
        <c:crossAx val="225007536"/>
        <c:crosses val="autoZero"/>
        <c:auto val="1"/>
        <c:lblOffset val="100"/>
        <c:baseTimeUnit val="months"/>
      </c:dateAx>
      <c:valAx>
        <c:axId val="225007536"/>
        <c:scaling>
          <c:orientation val="minMax"/>
        </c:scaling>
        <c:delete val="0"/>
        <c:axPos val="l"/>
        <c:numFmt formatCode="General" sourceLinked="1"/>
        <c:majorTickMark val="none"/>
        <c:minorTickMark val="none"/>
        <c:tickLblPos val="nextTo"/>
        <c:crossAx val="2247786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Sheet2!$A$100</c:f>
              <c:strCache>
                <c:ptCount val="1"/>
                <c:pt idx="0">
                  <c:v>up to 6 months</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Sheet2!$B$99:$M$99</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Sheet2!$B$100:$M$100</c:f>
              <c:numCache>
                <c:formatCode>General</c:formatCode>
                <c:ptCount val="12"/>
                <c:pt idx="0">
                  <c:v>82</c:v>
                </c:pt>
                <c:pt idx="1">
                  <c:v>71</c:v>
                </c:pt>
                <c:pt idx="2">
                  <c:v>74</c:v>
                </c:pt>
                <c:pt idx="3">
                  <c:v>76</c:v>
                </c:pt>
                <c:pt idx="4">
                  <c:v>65</c:v>
                </c:pt>
                <c:pt idx="5">
                  <c:v>60</c:v>
                </c:pt>
                <c:pt idx="6">
                  <c:v>60</c:v>
                </c:pt>
                <c:pt idx="7">
                  <c:v>47</c:v>
                </c:pt>
                <c:pt idx="8">
                  <c:v>41</c:v>
                </c:pt>
              </c:numCache>
            </c:numRef>
          </c:val>
        </c:ser>
        <c:ser>
          <c:idx val="1"/>
          <c:order val="1"/>
          <c:tx>
            <c:strRef>
              <c:f>Sheet2!$A$101</c:f>
              <c:strCache>
                <c:ptCount val="1"/>
                <c:pt idx="0">
                  <c:v>above 6 months</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Sheet2!$B$99:$M$99</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Sheet2!$B$101:$M$101</c:f>
              <c:numCache>
                <c:formatCode>General</c:formatCode>
                <c:ptCount val="12"/>
                <c:pt idx="0">
                  <c:v>53</c:v>
                </c:pt>
                <c:pt idx="1">
                  <c:v>56</c:v>
                </c:pt>
                <c:pt idx="2">
                  <c:v>54</c:v>
                </c:pt>
                <c:pt idx="3">
                  <c:v>47</c:v>
                </c:pt>
                <c:pt idx="4">
                  <c:v>50</c:v>
                </c:pt>
                <c:pt idx="5">
                  <c:v>45</c:v>
                </c:pt>
                <c:pt idx="6">
                  <c:v>38</c:v>
                </c:pt>
                <c:pt idx="7">
                  <c:v>28</c:v>
                </c:pt>
                <c:pt idx="8">
                  <c:v>30</c:v>
                </c:pt>
              </c:numCache>
            </c:numRef>
          </c:val>
        </c:ser>
        <c:dLbls>
          <c:showLegendKey val="0"/>
          <c:showVal val="1"/>
          <c:showCatName val="0"/>
          <c:showSerName val="0"/>
          <c:showPercent val="0"/>
          <c:showBubbleSize val="0"/>
        </c:dLbls>
        <c:gapWidth val="75"/>
        <c:overlap val="100"/>
        <c:axId val="225010336"/>
        <c:axId val="225010896"/>
      </c:barChart>
      <c:dateAx>
        <c:axId val="225010336"/>
        <c:scaling>
          <c:orientation val="minMax"/>
        </c:scaling>
        <c:delete val="0"/>
        <c:axPos val="b"/>
        <c:numFmt formatCode="mmm" sourceLinked="1"/>
        <c:majorTickMark val="none"/>
        <c:minorTickMark val="none"/>
        <c:tickLblPos val="nextTo"/>
        <c:crossAx val="225010896"/>
        <c:crosses val="autoZero"/>
        <c:auto val="1"/>
        <c:lblOffset val="100"/>
        <c:baseTimeUnit val="months"/>
      </c:dateAx>
      <c:valAx>
        <c:axId val="225010896"/>
        <c:scaling>
          <c:orientation val="minMax"/>
        </c:scaling>
        <c:delete val="0"/>
        <c:axPos val="l"/>
        <c:numFmt formatCode="General" sourceLinked="1"/>
        <c:majorTickMark val="none"/>
        <c:minorTickMark val="none"/>
        <c:tickLblPos val="nextTo"/>
        <c:crossAx val="22501033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Sheet2!$A$125</c:f>
              <c:strCache>
                <c:ptCount val="1"/>
                <c:pt idx="0">
                  <c:v>up to 6 months</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Sheet2!$B$124:$M$124</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Sheet2!$B$125:$M$125</c:f>
              <c:numCache>
                <c:formatCode>General</c:formatCode>
                <c:ptCount val="12"/>
                <c:pt idx="0">
                  <c:v>23</c:v>
                </c:pt>
                <c:pt idx="1">
                  <c:v>16</c:v>
                </c:pt>
                <c:pt idx="2">
                  <c:v>11</c:v>
                </c:pt>
                <c:pt idx="3">
                  <c:v>10</c:v>
                </c:pt>
                <c:pt idx="4">
                  <c:v>10</c:v>
                </c:pt>
                <c:pt idx="5">
                  <c:v>12</c:v>
                </c:pt>
                <c:pt idx="6">
                  <c:v>17</c:v>
                </c:pt>
                <c:pt idx="7">
                  <c:v>17</c:v>
                </c:pt>
                <c:pt idx="8">
                  <c:v>17</c:v>
                </c:pt>
              </c:numCache>
            </c:numRef>
          </c:val>
        </c:ser>
        <c:ser>
          <c:idx val="1"/>
          <c:order val="1"/>
          <c:tx>
            <c:strRef>
              <c:f>Sheet2!$A$126</c:f>
              <c:strCache>
                <c:ptCount val="1"/>
                <c:pt idx="0">
                  <c:v>above 6 months</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Sheet2!$B$124:$M$124</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Sheet2!$B$126:$M$126</c:f>
              <c:numCache>
                <c:formatCode>General</c:formatCode>
                <c:ptCount val="12"/>
                <c:pt idx="0">
                  <c:v>38</c:v>
                </c:pt>
                <c:pt idx="1">
                  <c:v>32</c:v>
                </c:pt>
                <c:pt idx="2">
                  <c:v>34</c:v>
                </c:pt>
                <c:pt idx="3">
                  <c:v>33</c:v>
                </c:pt>
                <c:pt idx="4">
                  <c:v>35</c:v>
                </c:pt>
                <c:pt idx="5">
                  <c:v>27</c:v>
                </c:pt>
                <c:pt idx="6">
                  <c:v>18</c:v>
                </c:pt>
                <c:pt idx="7">
                  <c:v>10</c:v>
                </c:pt>
                <c:pt idx="8">
                  <c:v>7</c:v>
                </c:pt>
              </c:numCache>
            </c:numRef>
          </c:val>
        </c:ser>
        <c:dLbls>
          <c:showLegendKey val="0"/>
          <c:showVal val="1"/>
          <c:showCatName val="0"/>
          <c:showSerName val="0"/>
          <c:showPercent val="0"/>
          <c:showBubbleSize val="0"/>
        </c:dLbls>
        <c:gapWidth val="75"/>
        <c:overlap val="100"/>
        <c:axId val="225013696"/>
        <c:axId val="225014256"/>
      </c:barChart>
      <c:dateAx>
        <c:axId val="225013696"/>
        <c:scaling>
          <c:orientation val="minMax"/>
        </c:scaling>
        <c:delete val="0"/>
        <c:axPos val="b"/>
        <c:numFmt formatCode="mmm" sourceLinked="1"/>
        <c:majorTickMark val="none"/>
        <c:minorTickMark val="none"/>
        <c:tickLblPos val="nextTo"/>
        <c:crossAx val="225014256"/>
        <c:crosses val="autoZero"/>
        <c:auto val="1"/>
        <c:lblOffset val="100"/>
        <c:baseTimeUnit val="months"/>
      </c:dateAx>
      <c:valAx>
        <c:axId val="225014256"/>
        <c:scaling>
          <c:orientation val="minMax"/>
        </c:scaling>
        <c:delete val="0"/>
        <c:axPos val="l"/>
        <c:numFmt formatCode="General" sourceLinked="1"/>
        <c:majorTickMark val="none"/>
        <c:minorTickMark val="none"/>
        <c:tickLblPos val="nextTo"/>
        <c:crossAx val="22501369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Sheet2!$A$148</c:f>
              <c:strCache>
                <c:ptCount val="1"/>
                <c:pt idx="0">
                  <c:v>up to 6 months</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Sheet2!$B$147:$M$147</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Sheet2!$B$148:$M$148</c:f>
              <c:numCache>
                <c:formatCode>General</c:formatCode>
                <c:ptCount val="12"/>
                <c:pt idx="0">
                  <c:v>48</c:v>
                </c:pt>
                <c:pt idx="1">
                  <c:v>38</c:v>
                </c:pt>
                <c:pt idx="2">
                  <c:v>16</c:v>
                </c:pt>
                <c:pt idx="3">
                  <c:v>15</c:v>
                </c:pt>
                <c:pt idx="4">
                  <c:v>11</c:v>
                </c:pt>
                <c:pt idx="5">
                  <c:v>12</c:v>
                </c:pt>
                <c:pt idx="6">
                  <c:v>8</c:v>
                </c:pt>
                <c:pt idx="7">
                  <c:v>11</c:v>
                </c:pt>
                <c:pt idx="8">
                  <c:v>12</c:v>
                </c:pt>
              </c:numCache>
            </c:numRef>
          </c:val>
        </c:ser>
        <c:ser>
          <c:idx val="1"/>
          <c:order val="1"/>
          <c:tx>
            <c:strRef>
              <c:f>Sheet2!$A$149</c:f>
              <c:strCache>
                <c:ptCount val="1"/>
                <c:pt idx="0">
                  <c:v>above 6 months</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Sheet2!$B$147:$M$147</c:f>
              <c:numCache>
                <c:formatCode>mmm</c:formatCode>
                <c:ptCount val="12"/>
                <c:pt idx="0">
                  <c:v>41851</c:v>
                </c:pt>
                <c:pt idx="1">
                  <c:v>41882</c:v>
                </c:pt>
                <c:pt idx="2">
                  <c:v>41912</c:v>
                </c:pt>
                <c:pt idx="3">
                  <c:v>41943</c:v>
                </c:pt>
                <c:pt idx="4">
                  <c:v>41973</c:v>
                </c:pt>
                <c:pt idx="5">
                  <c:v>42004</c:v>
                </c:pt>
                <c:pt idx="6">
                  <c:v>42035</c:v>
                </c:pt>
                <c:pt idx="7">
                  <c:v>42063</c:v>
                </c:pt>
                <c:pt idx="8">
                  <c:v>42094</c:v>
                </c:pt>
                <c:pt idx="9">
                  <c:v>42124</c:v>
                </c:pt>
                <c:pt idx="10">
                  <c:v>42155</c:v>
                </c:pt>
                <c:pt idx="11">
                  <c:v>42185</c:v>
                </c:pt>
              </c:numCache>
            </c:numRef>
          </c:cat>
          <c:val>
            <c:numRef>
              <c:f>Sheet2!$B$149:$M$149</c:f>
              <c:numCache>
                <c:formatCode>General</c:formatCode>
                <c:ptCount val="12"/>
                <c:pt idx="0">
                  <c:v>94</c:v>
                </c:pt>
                <c:pt idx="1">
                  <c:v>101</c:v>
                </c:pt>
                <c:pt idx="2">
                  <c:v>121</c:v>
                </c:pt>
                <c:pt idx="3">
                  <c:v>120</c:v>
                </c:pt>
                <c:pt idx="4">
                  <c:v>124</c:v>
                </c:pt>
                <c:pt idx="5">
                  <c:v>127</c:v>
                </c:pt>
                <c:pt idx="6">
                  <c:v>121</c:v>
                </c:pt>
                <c:pt idx="7">
                  <c:v>121</c:v>
                </c:pt>
                <c:pt idx="8">
                  <c:v>119</c:v>
                </c:pt>
              </c:numCache>
            </c:numRef>
          </c:val>
        </c:ser>
        <c:dLbls>
          <c:showLegendKey val="0"/>
          <c:showVal val="1"/>
          <c:showCatName val="0"/>
          <c:showSerName val="0"/>
          <c:showPercent val="0"/>
          <c:showBubbleSize val="0"/>
        </c:dLbls>
        <c:gapWidth val="75"/>
        <c:overlap val="100"/>
        <c:axId val="225017616"/>
        <c:axId val="225018176"/>
      </c:barChart>
      <c:dateAx>
        <c:axId val="225017616"/>
        <c:scaling>
          <c:orientation val="minMax"/>
        </c:scaling>
        <c:delete val="0"/>
        <c:axPos val="b"/>
        <c:numFmt formatCode="mmm" sourceLinked="1"/>
        <c:majorTickMark val="none"/>
        <c:minorTickMark val="none"/>
        <c:tickLblPos val="nextTo"/>
        <c:crossAx val="225018176"/>
        <c:crosses val="autoZero"/>
        <c:auto val="1"/>
        <c:lblOffset val="100"/>
        <c:baseTimeUnit val="months"/>
      </c:dateAx>
      <c:valAx>
        <c:axId val="225018176"/>
        <c:scaling>
          <c:orientation val="minMax"/>
        </c:scaling>
        <c:delete val="0"/>
        <c:axPos val="l"/>
        <c:numFmt formatCode="General" sourceLinked="1"/>
        <c:majorTickMark val="none"/>
        <c:minorTickMark val="none"/>
        <c:tickLblPos val="nextTo"/>
        <c:crossAx val="225017616"/>
        <c:crosses val="autoZero"/>
        <c:crossBetween val="between"/>
      </c:valAx>
    </c:plotArea>
    <c:legend>
      <c:legendPos val="b"/>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1398-FB92-41AE-8BB5-20F1CF8D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23</Pages>
  <Words>2657</Words>
  <Characters>15151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17773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dc:title>
  <dc:subject>Template</dc:subject>
  <dc:creator>dblackmore</dc:creator>
  <cp:lastModifiedBy>Tara Johnson</cp:lastModifiedBy>
  <cp:revision>2</cp:revision>
  <cp:lastPrinted>2015-05-07T04:17:00Z</cp:lastPrinted>
  <dcterms:created xsi:type="dcterms:W3CDTF">2015-05-07T23:03:00Z</dcterms:created>
  <dcterms:modified xsi:type="dcterms:W3CDTF">2015-05-07T23:03:00Z</dcterms:modified>
</cp:coreProperties>
</file>